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192B" w14:textId="46DA1813" w:rsidR="0025746E" w:rsidRPr="0025746E" w:rsidRDefault="0025746E" w:rsidP="0025746E">
      <w:pPr>
        <w:pStyle w:val="NoSpacing"/>
        <w:jc w:val="center"/>
        <w:rPr>
          <w:b/>
          <w:bCs/>
          <w:sz w:val="32"/>
          <w:szCs w:val="32"/>
        </w:rPr>
      </w:pPr>
      <w:r w:rsidRPr="0025746E">
        <w:rPr>
          <w:b/>
          <w:bCs/>
          <w:sz w:val="32"/>
          <w:szCs w:val="32"/>
        </w:rPr>
        <w:t>Biosafety Considerations for Research with Lentiviral Vectors</w:t>
      </w:r>
    </w:p>
    <w:p w14:paraId="591C48C8" w14:textId="37DA7263" w:rsidR="0025746E" w:rsidRPr="0025746E" w:rsidRDefault="0025746E" w:rsidP="0025746E">
      <w:pPr>
        <w:pStyle w:val="NoSpacing"/>
        <w:jc w:val="center"/>
        <w:rPr>
          <w:b/>
          <w:bCs/>
          <w:i/>
          <w:iCs/>
        </w:rPr>
      </w:pPr>
      <w:r w:rsidRPr="0025746E">
        <w:rPr>
          <w:b/>
          <w:bCs/>
          <w:i/>
          <w:iCs/>
        </w:rPr>
        <w:t>Recombinant DNA Advisory Committee (RAC) Guidance Document</w:t>
      </w:r>
    </w:p>
    <w:p w14:paraId="43D7B5FE" w14:textId="77777777" w:rsidR="0025746E" w:rsidRDefault="0025746E" w:rsidP="0025746E">
      <w:pPr>
        <w:pStyle w:val="NoSpacing"/>
        <w:rPr>
          <w:b/>
          <w:bCs/>
        </w:rPr>
      </w:pPr>
    </w:p>
    <w:p w14:paraId="1119B879" w14:textId="465DB72D" w:rsidR="0025746E" w:rsidRPr="0025746E" w:rsidRDefault="0025746E" w:rsidP="0025746E">
      <w:pPr>
        <w:pStyle w:val="NoSpacing"/>
        <w:rPr>
          <w:sz w:val="22"/>
          <w:szCs w:val="22"/>
        </w:rPr>
      </w:pPr>
      <w:r w:rsidRPr="0025746E">
        <w:rPr>
          <w:b/>
          <w:bCs/>
          <w:sz w:val="22"/>
          <w:szCs w:val="22"/>
        </w:rPr>
        <w:t>Background:</w:t>
      </w:r>
      <w:r w:rsidRPr="0025746E">
        <w:rPr>
          <w:sz w:val="22"/>
          <w:szCs w:val="22"/>
        </w:rPr>
        <w:t xml:space="preserve"> The use of lentiviral vectors has been increasing because the vector system has attractive features; however, such research also raises biosafety issues. The NIH Office of Biotechnology Activities has received frequent questions regarding the appropriate containment for lentiviral vectors, particularly those derived from HIV-1. Because the NIH Guidelines for Research Involving Recombinant DNA Molecules (NIH Guidelines) do not explicitly address containment for research with lentiviral vectors, the RAC was asked to provide additional guidance for institutional biosafety committees (IBCs) and investigators on how to conduct a risk assessment for lentiviral vector research. At the March RAC 2006 meeting (webcast), the RAC offered the following findings and recommendations. </w:t>
      </w:r>
    </w:p>
    <w:p w14:paraId="4FCE6880" w14:textId="77777777" w:rsidR="0025746E" w:rsidRPr="0025746E" w:rsidRDefault="0025746E" w:rsidP="0025746E">
      <w:pPr>
        <w:pStyle w:val="NoSpacing"/>
        <w:rPr>
          <w:b/>
          <w:bCs/>
          <w:sz w:val="22"/>
          <w:szCs w:val="22"/>
        </w:rPr>
      </w:pPr>
    </w:p>
    <w:p w14:paraId="22C6AE09" w14:textId="14490195" w:rsidR="0025746E" w:rsidRPr="0025746E" w:rsidRDefault="0025746E" w:rsidP="0025746E">
      <w:pPr>
        <w:pStyle w:val="NoSpacing"/>
        <w:rPr>
          <w:sz w:val="22"/>
          <w:szCs w:val="22"/>
        </w:rPr>
      </w:pPr>
      <w:r w:rsidRPr="0025746E">
        <w:rPr>
          <w:b/>
          <w:bCs/>
          <w:sz w:val="22"/>
          <w:szCs w:val="22"/>
        </w:rPr>
        <w:t>Risks of lentivirus vectors:</w:t>
      </w:r>
      <w:r w:rsidRPr="0025746E">
        <w:rPr>
          <w:sz w:val="22"/>
          <w:szCs w:val="22"/>
        </w:rPr>
        <w:t xml:space="preserve"> The major risks to be considered for research with HIV-1 based </w:t>
      </w:r>
    </w:p>
    <w:p w14:paraId="3B0F4BF6" w14:textId="77777777" w:rsidR="0025746E" w:rsidRPr="0025746E" w:rsidRDefault="0025746E" w:rsidP="0025746E">
      <w:pPr>
        <w:pStyle w:val="NoSpacing"/>
        <w:rPr>
          <w:sz w:val="22"/>
          <w:szCs w:val="22"/>
        </w:rPr>
      </w:pPr>
      <w:r w:rsidRPr="0025746E">
        <w:rPr>
          <w:sz w:val="22"/>
          <w:szCs w:val="22"/>
        </w:rPr>
        <w:t xml:space="preserve">lentivirus vectors are </w:t>
      </w:r>
    </w:p>
    <w:p w14:paraId="54E1FB27" w14:textId="5A47F42D" w:rsidR="0025746E" w:rsidRPr="0025746E" w:rsidRDefault="0025746E" w:rsidP="0025746E">
      <w:pPr>
        <w:pStyle w:val="NoSpacing"/>
        <w:numPr>
          <w:ilvl w:val="0"/>
          <w:numId w:val="2"/>
        </w:numPr>
        <w:rPr>
          <w:sz w:val="22"/>
          <w:szCs w:val="22"/>
        </w:rPr>
      </w:pPr>
      <w:r w:rsidRPr="0025746E">
        <w:rPr>
          <w:sz w:val="22"/>
          <w:szCs w:val="22"/>
        </w:rPr>
        <w:t xml:space="preserve">potential for generation of replication-competent lentivirus (RCL), and </w:t>
      </w:r>
    </w:p>
    <w:p w14:paraId="7C6CD863" w14:textId="71C4C350" w:rsidR="0025746E" w:rsidRPr="0025746E" w:rsidRDefault="0025746E" w:rsidP="0025746E">
      <w:pPr>
        <w:pStyle w:val="NoSpacing"/>
        <w:numPr>
          <w:ilvl w:val="0"/>
          <w:numId w:val="2"/>
        </w:numPr>
        <w:rPr>
          <w:sz w:val="22"/>
          <w:szCs w:val="22"/>
        </w:rPr>
      </w:pPr>
      <w:r w:rsidRPr="0025746E">
        <w:rPr>
          <w:sz w:val="22"/>
          <w:szCs w:val="22"/>
        </w:rPr>
        <w:t xml:space="preserve">potential for oncogenesis. </w:t>
      </w:r>
    </w:p>
    <w:p w14:paraId="76B64A45" w14:textId="77777777" w:rsidR="0025746E" w:rsidRPr="0025746E" w:rsidRDefault="0025746E" w:rsidP="0025746E">
      <w:pPr>
        <w:pStyle w:val="NoSpacing"/>
        <w:rPr>
          <w:sz w:val="22"/>
          <w:szCs w:val="22"/>
        </w:rPr>
      </w:pPr>
      <w:r w:rsidRPr="0025746E">
        <w:rPr>
          <w:sz w:val="22"/>
          <w:szCs w:val="22"/>
        </w:rPr>
        <w:t xml:space="preserve">These risks can be mitigated by the nature of the vector system (and its safety features) or </w:t>
      </w:r>
    </w:p>
    <w:p w14:paraId="4A4C2018" w14:textId="77777777" w:rsidR="0025746E" w:rsidRPr="0025746E" w:rsidRDefault="0025746E" w:rsidP="0025746E">
      <w:pPr>
        <w:pStyle w:val="NoSpacing"/>
        <w:rPr>
          <w:sz w:val="22"/>
          <w:szCs w:val="22"/>
        </w:rPr>
      </w:pPr>
      <w:r w:rsidRPr="0025746E">
        <w:rPr>
          <w:sz w:val="22"/>
          <w:szCs w:val="22"/>
        </w:rPr>
        <w:t xml:space="preserve">exacerbated by the nature of the transgene insert encoded by the vector. </w:t>
      </w:r>
    </w:p>
    <w:p w14:paraId="4E3396EB" w14:textId="77777777" w:rsidR="0025746E" w:rsidRPr="0025746E" w:rsidRDefault="0025746E" w:rsidP="0025746E">
      <w:pPr>
        <w:pStyle w:val="NoSpacing"/>
        <w:rPr>
          <w:sz w:val="22"/>
          <w:szCs w:val="22"/>
        </w:rPr>
      </w:pPr>
    </w:p>
    <w:p w14:paraId="65780944" w14:textId="509A6578" w:rsidR="0025746E" w:rsidRPr="0025746E" w:rsidRDefault="0025746E" w:rsidP="0025746E">
      <w:pPr>
        <w:pStyle w:val="NoSpacing"/>
        <w:rPr>
          <w:sz w:val="22"/>
          <w:szCs w:val="22"/>
        </w:rPr>
      </w:pPr>
      <w:r w:rsidRPr="0025746E">
        <w:rPr>
          <w:b/>
          <w:bCs/>
          <w:sz w:val="22"/>
          <w:szCs w:val="22"/>
        </w:rPr>
        <w:t>General criteria for risk assessment of lentivirus vectors:</w:t>
      </w:r>
      <w:r w:rsidRPr="0025746E">
        <w:rPr>
          <w:sz w:val="22"/>
          <w:szCs w:val="22"/>
        </w:rPr>
        <w:t xml:space="preserve"> Decisions about containment </w:t>
      </w:r>
    </w:p>
    <w:p w14:paraId="490859A8" w14:textId="77777777" w:rsidR="0025746E" w:rsidRPr="0025746E" w:rsidRDefault="0025746E" w:rsidP="0025746E">
      <w:pPr>
        <w:pStyle w:val="NoSpacing"/>
        <w:rPr>
          <w:sz w:val="22"/>
          <w:szCs w:val="22"/>
        </w:rPr>
      </w:pPr>
      <w:r w:rsidRPr="0025746E">
        <w:rPr>
          <w:sz w:val="22"/>
          <w:szCs w:val="22"/>
        </w:rPr>
        <w:t xml:space="preserve">should </w:t>
      </w:r>
      <w:proofErr w:type="gramStart"/>
      <w:r w:rsidRPr="0025746E">
        <w:rPr>
          <w:sz w:val="22"/>
          <w:szCs w:val="22"/>
        </w:rPr>
        <w:t>take into account</w:t>
      </w:r>
      <w:proofErr w:type="gramEnd"/>
      <w:r w:rsidRPr="0025746E">
        <w:rPr>
          <w:sz w:val="22"/>
          <w:szCs w:val="22"/>
        </w:rPr>
        <w:t xml:space="preserve"> a range of parameters/considerations including: </w:t>
      </w:r>
    </w:p>
    <w:p w14:paraId="06EB7741" w14:textId="63391B73" w:rsidR="0025746E" w:rsidRPr="0025746E" w:rsidRDefault="0025746E" w:rsidP="0025746E">
      <w:pPr>
        <w:pStyle w:val="NoSpacing"/>
        <w:numPr>
          <w:ilvl w:val="0"/>
          <w:numId w:val="3"/>
        </w:numPr>
        <w:rPr>
          <w:sz w:val="22"/>
          <w:szCs w:val="22"/>
        </w:rPr>
      </w:pPr>
      <w:r w:rsidRPr="0025746E">
        <w:rPr>
          <w:sz w:val="22"/>
          <w:szCs w:val="22"/>
        </w:rPr>
        <w:t xml:space="preserve">the nature of the vector system and the potential for regeneration of replication competent virus from the vector components, </w:t>
      </w:r>
    </w:p>
    <w:p w14:paraId="55CFBEFE" w14:textId="39930F66" w:rsidR="0025746E" w:rsidRPr="0025746E" w:rsidRDefault="0025746E" w:rsidP="0025746E">
      <w:pPr>
        <w:pStyle w:val="NoSpacing"/>
        <w:numPr>
          <w:ilvl w:val="0"/>
          <w:numId w:val="3"/>
        </w:numPr>
        <w:rPr>
          <w:sz w:val="22"/>
          <w:szCs w:val="22"/>
        </w:rPr>
      </w:pPr>
      <w:r w:rsidRPr="0025746E">
        <w:rPr>
          <w:sz w:val="22"/>
          <w:szCs w:val="22"/>
        </w:rPr>
        <w:t xml:space="preserve">the nature of the transgene </w:t>
      </w:r>
      <w:proofErr w:type="gramStart"/>
      <w:r w:rsidRPr="0025746E">
        <w:rPr>
          <w:sz w:val="22"/>
          <w:szCs w:val="22"/>
        </w:rPr>
        <w:t>insert</w:t>
      </w:r>
      <w:proofErr w:type="gramEnd"/>
      <w:r w:rsidRPr="0025746E">
        <w:rPr>
          <w:sz w:val="22"/>
          <w:szCs w:val="22"/>
        </w:rPr>
        <w:t xml:space="preserve"> (e.g., known oncogenes or genes with high oncogenic potential may merit special care) </w:t>
      </w:r>
    </w:p>
    <w:p w14:paraId="1DDEF50F" w14:textId="28D39B0D" w:rsidR="0025746E" w:rsidRPr="0025746E" w:rsidRDefault="0025746E" w:rsidP="0025746E">
      <w:pPr>
        <w:pStyle w:val="NoSpacing"/>
        <w:numPr>
          <w:ilvl w:val="0"/>
          <w:numId w:val="3"/>
        </w:numPr>
        <w:rPr>
          <w:sz w:val="22"/>
          <w:szCs w:val="22"/>
        </w:rPr>
      </w:pPr>
      <w:r w:rsidRPr="0025746E">
        <w:rPr>
          <w:sz w:val="22"/>
          <w:szCs w:val="22"/>
        </w:rPr>
        <w:t xml:space="preserve">the vector </w:t>
      </w:r>
      <w:proofErr w:type="gramStart"/>
      <w:r w:rsidRPr="0025746E">
        <w:rPr>
          <w:sz w:val="22"/>
          <w:szCs w:val="22"/>
        </w:rPr>
        <w:t>titer</w:t>
      </w:r>
      <w:proofErr w:type="gramEnd"/>
      <w:r w:rsidRPr="0025746E">
        <w:rPr>
          <w:sz w:val="22"/>
          <w:szCs w:val="22"/>
        </w:rPr>
        <w:t xml:space="preserve"> and the total amount of vector, </w:t>
      </w:r>
    </w:p>
    <w:p w14:paraId="0D6C11AD" w14:textId="58F0186A" w:rsidR="0025746E" w:rsidRPr="0025746E" w:rsidRDefault="0025746E" w:rsidP="0025746E">
      <w:pPr>
        <w:pStyle w:val="NoSpacing"/>
        <w:numPr>
          <w:ilvl w:val="0"/>
          <w:numId w:val="3"/>
        </w:numPr>
        <w:rPr>
          <w:sz w:val="22"/>
          <w:szCs w:val="22"/>
        </w:rPr>
      </w:pPr>
      <w:r w:rsidRPr="0025746E">
        <w:rPr>
          <w:sz w:val="22"/>
          <w:szCs w:val="22"/>
        </w:rPr>
        <w:t xml:space="preserve">the inherent biological containment of the animal host, if relevant, </w:t>
      </w:r>
    </w:p>
    <w:p w14:paraId="05EEC96E" w14:textId="0DE57A6B" w:rsidR="0025746E" w:rsidRPr="0025746E" w:rsidRDefault="0025746E" w:rsidP="0025746E">
      <w:pPr>
        <w:pStyle w:val="NoSpacing"/>
        <w:numPr>
          <w:ilvl w:val="0"/>
          <w:numId w:val="3"/>
        </w:numPr>
        <w:rPr>
          <w:sz w:val="22"/>
          <w:szCs w:val="22"/>
        </w:rPr>
      </w:pPr>
      <w:r w:rsidRPr="0025746E">
        <w:rPr>
          <w:sz w:val="22"/>
          <w:szCs w:val="22"/>
        </w:rPr>
        <w:t>negative RCL testing (</w:t>
      </w:r>
      <w:r w:rsidRPr="0025746E">
        <w:rPr>
          <w:i/>
          <w:iCs/>
          <w:sz w:val="22"/>
          <w:szCs w:val="22"/>
        </w:rPr>
        <w:t>see section below</w:t>
      </w:r>
      <w:r w:rsidRPr="0025746E">
        <w:rPr>
          <w:sz w:val="22"/>
          <w:szCs w:val="22"/>
        </w:rPr>
        <w:t xml:space="preserve">) </w:t>
      </w:r>
    </w:p>
    <w:p w14:paraId="163A23AE" w14:textId="77777777" w:rsidR="0025746E" w:rsidRPr="0025746E" w:rsidRDefault="0025746E" w:rsidP="0025746E">
      <w:pPr>
        <w:pStyle w:val="NoSpacing"/>
        <w:rPr>
          <w:sz w:val="22"/>
          <w:szCs w:val="22"/>
        </w:rPr>
      </w:pPr>
    </w:p>
    <w:p w14:paraId="2B7AEC1B" w14:textId="4197F91C" w:rsidR="0025746E" w:rsidRPr="0025746E" w:rsidRDefault="0025746E" w:rsidP="0025746E">
      <w:pPr>
        <w:pStyle w:val="NoSpacing"/>
        <w:rPr>
          <w:sz w:val="22"/>
          <w:szCs w:val="22"/>
        </w:rPr>
      </w:pPr>
      <w:r w:rsidRPr="0025746E">
        <w:rPr>
          <w:b/>
          <w:bCs/>
          <w:sz w:val="22"/>
          <w:szCs w:val="22"/>
        </w:rPr>
        <w:t>General containment considerations:</w:t>
      </w:r>
      <w:r w:rsidRPr="0025746E">
        <w:rPr>
          <w:sz w:val="22"/>
          <w:szCs w:val="22"/>
        </w:rPr>
        <w:t xml:space="preserve"> Either BL2 containment or enhanced BL2 containment is often appropriate in the laboratory setting for research involving the use of advanced lentivirus vector systems that have multiple safety features and that segregate vector and packaging functions onto four or more plasmids. Enhanced BL2 containment may include in addition to attention to sharps (and use of safety needles where feasible), the use of personal protective equipment intended to reduce the potential for mucosal exposure to the vector. In most such research, these levels of containment are also expected to be appropriate even when producing large volumes of HIV-1 vectors (&gt;10 L). </w:t>
      </w:r>
    </w:p>
    <w:p w14:paraId="6F82008A" w14:textId="77777777" w:rsidR="0025746E" w:rsidRPr="0025746E" w:rsidRDefault="0025746E" w:rsidP="0025746E">
      <w:pPr>
        <w:pStyle w:val="NoSpacing"/>
        <w:rPr>
          <w:sz w:val="22"/>
          <w:szCs w:val="22"/>
        </w:rPr>
      </w:pPr>
    </w:p>
    <w:p w14:paraId="1B2FB501" w14:textId="47FC7D32" w:rsidR="0025746E" w:rsidRPr="0025746E" w:rsidRDefault="0025746E" w:rsidP="0025746E">
      <w:pPr>
        <w:pStyle w:val="NoSpacing"/>
        <w:rPr>
          <w:sz w:val="22"/>
          <w:szCs w:val="22"/>
        </w:rPr>
      </w:pPr>
      <w:r w:rsidRPr="0025746E">
        <w:rPr>
          <w:sz w:val="22"/>
          <w:szCs w:val="22"/>
        </w:rPr>
        <w:t xml:space="preserve">The appropriate containment level for specific lentivirus vector research is, of course, determined following a complete risk assessment and local IBC review. The following sections discuss some considerations which should form an important part of the biosafety assessment for research involving lentivirus vectors. </w:t>
      </w:r>
    </w:p>
    <w:p w14:paraId="67A60932" w14:textId="77777777" w:rsidR="0025746E" w:rsidRDefault="0025746E" w:rsidP="0025746E">
      <w:pPr>
        <w:pStyle w:val="NoSpacing"/>
        <w:rPr>
          <w:sz w:val="22"/>
          <w:szCs w:val="22"/>
        </w:rPr>
      </w:pPr>
    </w:p>
    <w:p w14:paraId="103FBAFD" w14:textId="1E2E0C99" w:rsidR="0025746E" w:rsidRPr="0025746E" w:rsidRDefault="0025746E" w:rsidP="0025746E">
      <w:pPr>
        <w:pStyle w:val="NoSpacing"/>
        <w:rPr>
          <w:b/>
          <w:bCs/>
          <w:sz w:val="22"/>
          <w:szCs w:val="22"/>
        </w:rPr>
      </w:pPr>
      <w:r w:rsidRPr="0025746E">
        <w:rPr>
          <w:b/>
          <w:bCs/>
          <w:sz w:val="22"/>
          <w:szCs w:val="22"/>
        </w:rPr>
        <w:t xml:space="preserve">Potential for generation of replication competent lentivirus (RCL) from HIV-1 based </w:t>
      </w:r>
    </w:p>
    <w:p w14:paraId="77F5244B" w14:textId="77777777" w:rsidR="0025746E" w:rsidRPr="0025746E" w:rsidRDefault="0025746E" w:rsidP="0025746E">
      <w:pPr>
        <w:pStyle w:val="NoSpacing"/>
        <w:rPr>
          <w:sz w:val="22"/>
          <w:szCs w:val="22"/>
        </w:rPr>
      </w:pPr>
      <w:r w:rsidRPr="0025746E">
        <w:rPr>
          <w:b/>
          <w:bCs/>
          <w:sz w:val="22"/>
          <w:szCs w:val="22"/>
        </w:rPr>
        <w:t>lentivirus vectors:</w:t>
      </w:r>
      <w:r w:rsidRPr="0025746E">
        <w:rPr>
          <w:sz w:val="22"/>
          <w:szCs w:val="22"/>
        </w:rPr>
        <w:t xml:space="preserve"> The potential for generation of RCL from HIV-1 based lentivirus vectors </w:t>
      </w:r>
    </w:p>
    <w:p w14:paraId="127E4DC8" w14:textId="77777777" w:rsidR="0025746E" w:rsidRPr="0025746E" w:rsidRDefault="0025746E" w:rsidP="0025746E">
      <w:pPr>
        <w:pStyle w:val="NoSpacing"/>
        <w:rPr>
          <w:sz w:val="22"/>
          <w:szCs w:val="22"/>
        </w:rPr>
      </w:pPr>
      <w:r w:rsidRPr="0025746E">
        <w:rPr>
          <w:sz w:val="22"/>
          <w:szCs w:val="22"/>
        </w:rPr>
        <w:t xml:space="preserve">depends upon several parameters, the most important of which are </w:t>
      </w:r>
    </w:p>
    <w:p w14:paraId="057CE245" w14:textId="6FB9EB76" w:rsidR="0025746E" w:rsidRPr="0025746E" w:rsidRDefault="0025746E" w:rsidP="0025746E">
      <w:pPr>
        <w:pStyle w:val="NoSpacing"/>
        <w:numPr>
          <w:ilvl w:val="0"/>
          <w:numId w:val="4"/>
        </w:numPr>
        <w:rPr>
          <w:sz w:val="22"/>
          <w:szCs w:val="22"/>
        </w:rPr>
      </w:pPr>
      <w:r w:rsidRPr="0025746E">
        <w:rPr>
          <w:sz w:val="22"/>
          <w:szCs w:val="22"/>
        </w:rPr>
        <w:t xml:space="preserve">the number of recombination events necessary to reassemble a replication competent virus genome and </w:t>
      </w:r>
    </w:p>
    <w:p w14:paraId="230124B2" w14:textId="2AF364D7" w:rsidR="0025746E" w:rsidRPr="0025746E" w:rsidRDefault="0025746E" w:rsidP="0025746E">
      <w:pPr>
        <w:pStyle w:val="NoSpacing"/>
        <w:numPr>
          <w:ilvl w:val="0"/>
          <w:numId w:val="3"/>
        </w:numPr>
        <w:rPr>
          <w:sz w:val="22"/>
          <w:szCs w:val="22"/>
        </w:rPr>
      </w:pPr>
      <w:r w:rsidRPr="0025746E">
        <w:rPr>
          <w:sz w:val="22"/>
          <w:szCs w:val="22"/>
        </w:rPr>
        <w:t xml:space="preserve">the number of essential genes that have been deleted from the vector/packaging system. </w:t>
      </w:r>
    </w:p>
    <w:p w14:paraId="5345DEAF" w14:textId="77777777" w:rsidR="0025746E" w:rsidRDefault="0025746E" w:rsidP="0025746E">
      <w:pPr>
        <w:pStyle w:val="NoSpacing"/>
        <w:rPr>
          <w:sz w:val="22"/>
          <w:szCs w:val="22"/>
        </w:rPr>
      </w:pPr>
    </w:p>
    <w:p w14:paraId="7DE979E8" w14:textId="4A8B0B86" w:rsidR="0025746E" w:rsidRPr="0025746E" w:rsidRDefault="0025746E" w:rsidP="0025746E">
      <w:pPr>
        <w:pStyle w:val="NoSpacing"/>
        <w:rPr>
          <w:sz w:val="22"/>
          <w:szCs w:val="22"/>
        </w:rPr>
      </w:pPr>
      <w:r w:rsidRPr="0025746E">
        <w:rPr>
          <w:sz w:val="22"/>
          <w:szCs w:val="22"/>
        </w:rPr>
        <w:lastRenderedPageBreak/>
        <w:t xml:space="preserve">On this basis, later generation lentivirus vector systems are likely to provide for a greater margin of </w:t>
      </w:r>
    </w:p>
    <w:p w14:paraId="00F6B0CC" w14:textId="77777777" w:rsidR="0025746E" w:rsidRPr="0025746E" w:rsidRDefault="0025746E" w:rsidP="0025746E">
      <w:pPr>
        <w:pStyle w:val="NoSpacing"/>
        <w:rPr>
          <w:sz w:val="22"/>
          <w:szCs w:val="22"/>
        </w:rPr>
      </w:pPr>
      <w:r w:rsidRPr="0025746E">
        <w:rPr>
          <w:sz w:val="22"/>
          <w:szCs w:val="22"/>
        </w:rPr>
        <w:t xml:space="preserve">personal and public safety than earlier vectors, because </w:t>
      </w:r>
    </w:p>
    <w:p w14:paraId="4006967B" w14:textId="60EEB592" w:rsidR="0025746E" w:rsidRPr="0025746E" w:rsidRDefault="0025746E" w:rsidP="0025746E">
      <w:pPr>
        <w:pStyle w:val="NoSpacing"/>
        <w:numPr>
          <w:ilvl w:val="0"/>
          <w:numId w:val="3"/>
        </w:numPr>
        <w:rPr>
          <w:sz w:val="22"/>
          <w:szCs w:val="22"/>
        </w:rPr>
      </w:pPr>
      <w:proofErr w:type="gramStart"/>
      <w:r w:rsidRPr="0025746E">
        <w:rPr>
          <w:sz w:val="22"/>
          <w:szCs w:val="22"/>
        </w:rPr>
        <w:t>they</w:t>
      </w:r>
      <w:proofErr w:type="gramEnd"/>
      <w:r w:rsidRPr="0025746E">
        <w:rPr>
          <w:sz w:val="22"/>
          <w:szCs w:val="22"/>
        </w:rPr>
        <w:t xml:space="preserve"> use a heterologous coat protein (e.g., VSV-G) in place of the native HIV-1 envelope</w:t>
      </w:r>
      <w:r w:rsidRPr="0025746E">
        <w:rPr>
          <w:sz w:val="22"/>
          <w:szCs w:val="22"/>
        </w:rPr>
        <w:t xml:space="preserve"> </w:t>
      </w:r>
      <w:r w:rsidRPr="0025746E">
        <w:rPr>
          <w:sz w:val="22"/>
          <w:szCs w:val="22"/>
        </w:rPr>
        <w:t xml:space="preserve">protein (However, the use of the certain coat proteins, such as VSV-G, may broaden the </w:t>
      </w:r>
      <w:proofErr w:type="gramStart"/>
      <w:r w:rsidRPr="0025746E">
        <w:rPr>
          <w:sz w:val="22"/>
          <w:szCs w:val="22"/>
        </w:rPr>
        <w:t xml:space="preserve">host </w:t>
      </w:r>
      <w:r w:rsidRPr="0025746E">
        <w:rPr>
          <w:sz w:val="22"/>
          <w:szCs w:val="22"/>
        </w:rPr>
        <w:t xml:space="preserve"> </w:t>
      </w:r>
      <w:r w:rsidRPr="0025746E">
        <w:rPr>
          <w:sz w:val="22"/>
          <w:szCs w:val="22"/>
        </w:rPr>
        <w:t>cell</w:t>
      </w:r>
      <w:proofErr w:type="gramEnd"/>
      <w:r w:rsidRPr="0025746E">
        <w:rPr>
          <w:sz w:val="22"/>
          <w:szCs w:val="22"/>
        </w:rPr>
        <w:t xml:space="preserve"> and tissue tropism of lentivirus vectors, which should also be considered in the overall safety assessment by the IBC), </w:t>
      </w:r>
    </w:p>
    <w:p w14:paraId="57C7C134" w14:textId="7FF16A4B" w:rsidR="0025746E" w:rsidRPr="0025746E" w:rsidRDefault="0025746E" w:rsidP="0025746E">
      <w:pPr>
        <w:pStyle w:val="NoSpacing"/>
        <w:numPr>
          <w:ilvl w:val="0"/>
          <w:numId w:val="3"/>
        </w:numPr>
        <w:rPr>
          <w:sz w:val="22"/>
          <w:szCs w:val="22"/>
        </w:rPr>
      </w:pPr>
      <w:r w:rsidRPr="0025746E">
        <w:rPr>
          <w:sz w:val="22"/>
          <w:szCs w:val="22"/>
        </w:rPr>
        <w:t xml:space="preserve">they separate vector and packaging functions onto four or more plasmids and </w:t>
      </w:r>
    </w:p>
    <w:p w14:paraId="65B2FBD9" w14:textId="15B629C1" w:rsidR="0025746E" w:rsidRPr="0025746E" w:rsidRDefault="0025746E" w:rsidP="0025746E">
      <w:pPr>
        <w:pStyle w:val="NoSpacing"/>
        <w:numPr>
          <w:ilvl w:val="0"/>
          <w:numId w:val="3"/>
        </w:numPr>
        <w:rPr>
          <w:sz w:val="22"/>
          <w:szCs w:val="22"/>
        </w:rPr>
      </w:pPr>
      <w:r w:rsidRPr="0025746E">
        <w:rPr>
          <w:sz w:val="22"/>
          <w:szCs w:val="22"/>
        </w:rPr>
        <w:t xml:space="preserve">they include additional safety features (e.g., they do not encode Tat, which is essential for replication of wild-type HIV-1). </w:t>
      </w:r>
    </w:p>
    <w:p w14:paraId="1F678D48" w14:textId="77777777" w:rsidR="0025746E" w:rsidRDefault="0025746E" w:rsidP="0025746E">
      <w:pPr>
        <w:pStyle w:val="NoSpacing"/>
        <w:rPr>
          <w:sz w:val="22"/>
          <w:szCs w:val="22"/>
        </w:rPr>
      </w:pPr>
    </w:p>
    <w:p w14:paraId="787190E5" w14:textId="162EE082" w:rsidR="0025746E" w:rsidRPr="0025746E" w:rsidRDefault="0025746E" w:rsidP="0025746E">
      <w:pPr>
        <w:pStyle w:val="NoSpacing"/>
        <w:rPr>
          <w:sz w:val="22"/>
          <w:szCs w:val="22"/>
        </w:rPr>
      </w:pPr>
      <w:r w:rsidRPr="0025746E">
        <w:rPr>
          <w:sz w:val="22"/>
          <w:szCs w:val="22"/>
        </w:rPr>
        <w:t xml:space="preserve">In contrast, earlier vector systems (such as two-plasmid vector systems) may have a higher potential for </w:t>
      </w:r>
      <w:proofErr w:type="gramStart"/>
      <w:r w:rsidRPr="0025746E">
        <w:rPr>
          <w:sz w:val="22"/>
          <w:szCs w:val="22"/>
        </w:rPr>
        <w:t>generation</w:t>
      </w:r>
      <w:proofErr w:type="gramEnd"/>
      <w:r w:rsidRPr="0025746E">
        <w:rPr>
          <w:sz w:val="22"/>
          <w:szCs w:val="22"/>
        </w:rPr>
        <w:t xml:space="preserve"> of RCL. </w:t>
      </w:r>
    </w:p>
    <w:p w14:paraId="0D79D6B7" w14:textId="77777777" w:rsidR="0025746E" w:rsidRDefault="0025746E" w:rsidP="0025746E">
      <w:pPr>
        <w:pStyle w:val="NoSpacing"/>
        <w:rPr>
          <w:sz w:val="22"/>
          <w:szCs w:val="22"/>
        </w:rPr>
      </w:pPr>
    </w:p>
    <w:p w14:paraId="37D098B4" w14:textId="4A0719E9" w:rsidR="0025746E" w:rsidRPr="0025746E" w:rsidRDefault="0025746E" w:rsidP="0025746E">
      <w:pPr>
        <w:pStyle w:val="NoSpacing"/>
        <w:rPr>
          <w:sz w:val="22"/>
          <w:szCs w:val="22"/>
        </w:rPr>
      </w:pPr>
      <w:r w:rsidRPr="0025746E">
        <w:rPr>
          <w:b/>
          <w:bCs/>
          <w:sz w:val="22"/>
          <w:szCs w:val="22"/>
        </w:rPr>
        <w:t xml:space="preserve">RCL testing: </w:t>
      </w:r>
      <w:r w:rsidRPr="0025746E">
        <w:rPr>
          <w:sz w:val="22"/>
          <w:szCs w:val="22"/>
        </w:rPr>
        <w:t xml:space="preserve">The National Gene Vector Laboratory (NGVL) has produced over 60 liters of HIV-1 </w:t>
      </w:r>
    </w:p>
    <w:p w14:paraId="4FF811BB" w14:textId="00DA3FA5" w:rsidR="0025746E" w:rsidRPr="0025746E" w:rsidRDefault="0025746E" w:rsidP="0025746E">
      <w:pPr>
        <w:pStyle w:val="NoSpacing"/>
        <w:rPr>
          <w:sz w:val="22"/>
          <w:szCs w:val="22"/>
        </w:rPr>
      </w:pPr>
      <w:r w:rsidRPr="0025746E">
        <w:rPr>
          <w:sz w:val="22"/>
          <w:szCs w:val="22"/>
        </w:rPr>
        <w:t xml:space="preserve">vector and has screened supernatant and cells from different vector systems, using different assays, without detecting RCL (K. Cornetta, personal communication of unpublished data). This suggests that the frequency of RCL generation using lentivirus vectors is very low. It may not, however, be zero. There is a need for continued investigation of RCL generation using lentivirus vectors, </w:t>
      </w:r>
      <w:proofErr w:type="gramStart"/>
      <w:r w:rsidRPr="0025746E">
        <w:rPr>
          <w:sz w:val="22"/>
          <w:szCs w:val="22"/>
        </w:rPr>
        <w:t>in order to</w:t>
      </w:r>
      <w:proofErr w:type="gramEnd"/>
      <w:r w:rsidRPr="0025746E">
        <w:rPr>
          <w:sz w:val="22"/>
          <w:szCs w:val="22"/>
        </w:rPr>
        <w:t xml:space="preserve"> inform and advance the field of lentivirus vector technology. </w:t>
      </w:r>
    </w:p>
    <w:p w14:paraId="51DBF4E4" w14:textId="77777777" w:rsidR="0025746E" w:rsidRDefault="0025746E" w:rsidP="0025746E">
      <w:pPr>
        <w:pStyle w:val="NoSpacing"/>
        <w:rPr>
          <w:sz w:val="22"/>
          <w:szCs w:val="22"/>
        </w:rPr>
      </w:pPr>
    </w:p>
    <w:p w14:paraId="7ACD0C2C" w14:textId="4FC84A6C" w:rsidR="0025746E" w:rsidRPr="0025746E" w:rsidRDefault="0025746E" w:rsidP="0025746E">
      <w:pPr>
        <w:pStyle w:val="NoSpacing"/>
        <w:rPr>
          <w:sz w:val="22"/>
          <w:szCs w:val="22"/>
        </w:rPr>
      </w:pPr>
      <w:r w:rsidRPr="0025746E">
        <w:rPr>
          <w:sz w:val="22"/>
          <w:szCs w:val="22"/>
        </w:rPr>
        <w:t xml:space="preserve">The FDA requires that lentiviral vector stocks used in human clinical trials be tested for RCL. </w:t>
      </w:r>
    </w:p>
    <w:p w14:paraId="16C8735D" w14:textId="7E4EA418" w:rsidR="0025746E" w:rsidRPr="0025746E" w:rsidRDefault="0025746E" w:rsidP="0025746E">
      <w:pPr>
        <w:pStyle w:val="NoSpacing"/>
        <w:rPr>
          <w:sz w:val="22"/>
          <w:szCs w:val="22"/>
        </w:rPr>
      </w:pPr>
      <w:r w:rsidRPr="0025746E">
        <w:rPr>
          <w:sz w:val="22"/>
          <w:szCs w:val="22"/>
        </w:rPr>
        <w:t xml:space="preserve">Individual research laboratories conducting preclinical research often use only small volumes (e.g., a few </w:t>
      </w:r>
      <w:proofErr w:type="spellStart"/>
      <w:r w:rsidRPr="0025746E">
        <w:rPr>
          <w:sz w:val="22"/>
          <w:szCs w:val="22"/>
        </w:rPr>
        <w:t>milliters</w:t>
      </w:r>
      <w:proofErr w:type="spellEnd"/>
      <w:r w:rsidRPr="0025746E">
        <w:rPr>
          <w:sz w:val="22"/>
          <w:szCs w:val="22"/>
        </w:rPr>
        <w:t xml:space="preserve">) of lentivirus vectors expressing lower risk transgenes such as GFP. While these </w:t>
      </w:r>
    </w:p>
    <w:p w14:paraId="22FE6997" w14:textId="77777777" w:rsidR="0025746E" w:rsidRPr="0025746E" w:rsidRDefault="0025746E" w:rsidP="0025746E">
      <w:pPr>
        <w:pStyle w:val="NoSpacing"/>
        <w:rPr>
          <w:sz w:val="22"/>
          <w:szCs w:val="22"/>
        </w:rPr>
      </w:pPr>
      <w:r w:rsidRPr="0025746E">
        <w:rPr>
          <w:sz w:val="22"/>
          <w:szCs w:val="22"/>
        </w:rPr>
        <w:t xml:space="preserve">laboratories are not mandated to characterize vector </w:t>
      </w:r>
      <w:proofErr w:type="gramStart"/>
      <w:r w:rsidRPr="0025746E">
        <w:rPr>
          <w:sz w:val="22"/>
          <w:szCs w:val="22"/>
        </w:rPr>
        <w:t>stocks,</w:t>
      </w:r>
      <w:proofErr w:type="gramEnd"/>
      <w:r w:rsidRPr="0025746E">
        <w:rPr>
          <w:sz w:val="22"/>
          <w:szCs w:val="22"/>
        </w:rPr>
        <w:t xml:space="preserve"> such testing should be encouraged. </w:t>
      </w:r>
    </w:p>
    <w:p w14:paraId="15257F2E" w14:textId="77777777" w:rsidR="0025746E" w:rsidRPr="0025746E" w:rsidRDefault="0025746E" w:rsidP="0025746E">
      <w:pPr>
        <w:pStyle w:val="NoSpacing"/>
        <w:rPr>
          <w:sz w:val="22"/>
          <w:szCs w:val="22"/>
        </w:rPr>
      </w:pPr>
      <w:r w:rsidRPr="0025746E">
        <w:rPr>
          <w:sz w:val="22"/>
          <w:szCs w:val="22"/>
        </w:rPr>
        <w:t xml:space="preserve">However, RCL testing requires expertise with the appropriate assays and such expertise may not be </w:t>
      </w:r>
    </w:p>
    <w:p w14:paraId="49DF2EE0" w14:textId="0140E272" w:rsidR="0025746E" w:rsidRPr="0025746E" w:rsidRDefault="0025746E" w:rsidP="0025746E">
      <w:pPr>
        <w:pStyle w:val="NoSpacing"/>
        <w:rPr>
          <w:sz w:val="22"/>
          <w:szCs w:val="22"/>
        </w:rPr>
      </w:pPr>
      <w:r w:rsidRPr="0025746E">
        <w:rPr>
          <w:sz w:val="22"/>
          <w:szCs w:val="22"/>
        </w:rPr>
        <w:t xml:space="preserve">available in laboratories that do not work regularly with infectious lentiviruses. In such laboratories, the use of </w:t>
      </w:r>
      <w:proofErr w:type="gramStart"/>
      <w:r w:rsidRPr="0025746E">
        <w:rPr>
          <w:sz w:val="22"/>
          <w:szCs w:val="22"/>
        </w:rPr>
        <w:t>a positive</w:t>
      </w:r>
      <w:proofErr w:type="gramEnd"/>
      <w:r w:rsidRPr="0025746E">
        <w:rPr>
          <w:sz w:val="22"/>
          <w:szCs w:val="22"/>
        </w:rPr>
        <w:t xml:space="preserve"> control may increase risk to the investigator as compared to use of the test material. IBCs may make containment assignments without requiring such testing by undertaking a risk assessment that considers the nature of the specific vector system being used and overall past </w:t>
      </w:r>
    </w:p>
    <w:p w14:paraId="12161767" w14:textId="77777777" w:rsidR="0025746E" w:rsidRPr="0025746E" w:rsidRDefault="0025746E" w:rsidP="0025746E">
      <w:pPr>
        <w:pStyle w:val="NoSpacing"/>
        <w:rPr>
          <w:sz w:val="22"/>
          <w:szCs w:val="22"/>
        </w:rPr>
      </w:pPr>
      <w:r w:rsidRPr="0025746E">
        <w:rPr>
          <w:sz w:val="22"/>
          <w:szCs w:val="22"/>
        </w:rPr>
        <w:t xml:space="preserve">experience with the system. </w:t>
      </w:r>
    </w:p>
    <w:p w14:paraId="62340E39" w14:textId="77777777" w:rsidR="0025746E" w:rsidRDefault="0025746E" w:rsidP="0025746E">
      <w:pPr>
        <w:pStyle w:val="NoSpacing"/>
        <w:rPr>
          <w:sz w:val="22"/>
          <w:szCs w:val="22"/>
        </w:rPr>
      </w:pPr>
    </w:p>
    <w:p w14:paraId="748C7D97" w14:textId="313BE7B0" w:rsidR="0025746E" w:rsidRPr="0025746E" w:rsidRDefault="0025746E" w:rsidP="0025746E">
      <w:pPr>
        <w:pStyle w:val="NoSpacing"/>
        <w:rPr>
          <w:sz w:val="22"/>
          <w:szCs w:val="22"/>
        </w:rPr>
      </w:pPr>
      <w:r w:rsidRPr="0025746E">
        <w:rPr>
          <w:b/>
          <w:bCs/>
          <w:sz w:val="22"/>
          <w:szCs w:val="22"/>
        </w:rPr>
        <w:t>Animal studies:</w:t>
      </w:r>
      <w:r w:rsidRPr="0025746E">
        <w:rPr>
          <w:sz w:val="22"/>
          <w:szCs w:val="22"/>
        </w:rPr>
        <w:t xml:space="preserve"> Some animals, such as wild-type mice, cannot support replication of infectious </w:t>
      </w:r>
    </w:p>
    <w:p w14:paraId="4CBB0C61" w14:textId="77777777" w:rsidR="0025746E" w:rsidRPr="0025746E" w:rsidRDefault="0025746E" w:rsidP="0025746E">
      <w:pPr>
        <w:pStyle w:val="NoSpacing"/>
        <w:rPr>
          <w:sz w:val="22"/>
          <w:szCs w:val="22"/>
        </w:rPr>
      </w:pPr>
      <w:r w:rsidRPr="0025746E">
        <w:rPr>
          <w:sz w:val="22"/>
          <w:szCs w:val="22"/>
        </w:rPr>
        <w:t xml:space="preserve">HIV-1. As a result, the potential for shedding of RCL from such animals is very low (even if RCL were </w:t>
      </w:r>
    </w:p>
    <w:p w14:paraId="3ED6CF43" w14:textId="77777777" w:rsidR="0025746E" w:rsidRPr="0025746E" w:rsidRDefault="0025746E" w:rsidP="0025746E">
      <w:pPr>
        <w:pStyle w:val="NoSpacing"/>
        <w:rPr>
          <w:sz w:val="22"/>
          <w:szCs w:val="22"/>
        </w:rPr>
      </w:pPr>
      <w:r w:rsidRPr="0025746E">
        <w:rPr>
          <w:sz w:val="22"/>
          <w:szCs w:val="22"/>
        </w:rPr>
        <w:t xml:space="preserve">present in the original vector inoculum). IBCs may consider the biosafety issues associated with </w:t>
      </w:r>
    </w:p>
    <w:p w14:paraId="51C6F57D" w14:textId="5050C0B0" w:rsidR="0025746E" w:rsidRPr="0025746E" w:rsidRDefault="0025746E" w:rsidP="0025746E">
      <w:pPr>
        <w:pStyle w:val="NoSpacing"/>
        <w:rPr>
          <w:sz w:val="22"/>
          <w:szCs w:val="22"/>
        </w:rPr>
      </w:pPr>
      <w:r w:rsidRPr="0025746E">
        <w:rPr>
          <w:sz w:val="22"/>
          <w:szCs w:val="22"/>
        </w:rPr>
        <w:t xml:space="preserve">animal husbandry and housing after the initial injection separately from the initial inoculation itself. In general, the initial delivery of vector should be performed under Biosafety Level 2 for Animals (BL2-N) or under enhanced BL2-N containment (see "General containment considerations"), </w:t>
      </w:r>
      <w:proofErr w:type="gramStart"/>
      <w:r w:rsidRPr="0025746E">
        <w:rPr>
          <w:sz w:val="22"/>
          <w:szCs w:val="22"/>
        </w:rPr>
        <w:t>so as to</w:t>
      </w:r>
      <w:proofErr w:type="gramEnd"/>
      <w:r w:rsidRPr="0025746E">
        <w:rPr>
          <w:sz w:val="22"/>
          <w:szCs w:val="22"/>
        </w:rPr>
        <w:t xml:space="preserve"> minimize the risk of autoinoculation by the investigator. However, it may be permissible to reduce the containment level at some point following vector delivery. For example, if there is no expectation of infection (see below), the site of inoculation has been thoroughly cleansed, and the bedding changed, it may be acceptable to consider reducing containment from BL2-N to BL1-N within a few days (the specific time period can be specified by the local IBC, and may vary anywhere from 1-7 days depending on local and experimental considerations). Animals engrafted with human cells or animal hosts that are permissive for HIV-1 replication constitute a special case, </w:t>
      </w:r>
      <w:proofErr w:type="gramStart"/>
      <w:r w:rsidRPr="0025746E">
        <w:rPr>
          <w:sz w:val="22"/>
          <w:szCs w:val="22"/>
        </w:rPr>
        <w:t>in light of</w:t>
      </w:r>
      <w:proofErr w:type="gramEnd"/>
      <w:r w:rsidRPr="0025746E">
        <w:rPr>
          <w:sz w:val="22"/>
          <w:szCs w:val="22"/>
        </w:rPr>
        <w:t xml:space="preserve"> their potential to support replication of infectious HIV-1. Use of lentivirus vectors in these animals requires a higher level of containment.</w:t>
      </w:r>
    </w:p>
    <w:p w14:paraId="3874540D" w14:textId="77777777" w:rsidR="0025746E" w:rsidRDefault="0025746E" w:rsidP="0025746E">
      <w:pPr>
        <w:pStyle w:val="NoSpacing"/>
        <w:rPr>
          <w:sz w:val="22"/>
          <w:szCs w:val="22"/>
        </w:rPr>
      </w:pPr>
    </w:p>
    <w:p w14:paraId="58C49DF7" w14:textId="44FCFCA0" w:rsidR="0025746E" w:rsidRPr="0025746E" w:rsidRDefault="0025746E" w:rsidP="0025746E">
      <w:pPr>
        <w:pStyle w:val="NoSpacing"/>
        <w:rPr>
          <w:sz w:val="22"/>
          <w:szCs w:val="22"/>
        </w:rPr>
      </w:pPr>
      <w:r w:rsidRPr="0025746E">
        <w:rPr>
          <w:b/>
          <w:bCs/>
          <w:sz w:val="22"/>
          <w:szCs w:val="22"/>
        </w:rPr>
        <w:t>Other lentivirus vectors:</w:t>
      </w:r>
      <w:r w:rsidRPr="0025746E">
        <w:rPr>
          <w:sz w:val="22"/>
          <w:szCs w:val="22"/>
        </w:rPr>
        <w:t xml:space="preserve"> Some non-human lentivirus vectors (e.g., FIV, SIV, EIAV, etc.) are also </w:t>
      </w:r>
    </w:p>
    <w:p w14:paraId="1180F6E5" w14:textId="3C304B70" w:rsidR="0025746E" w:rsidRPr="0025746E" w:rsidRDefault="0025746E" w:rsidP="0025746E">
      <w:pPr>
        <w:pStyle w:val="NoSpacing"/>
        <w:rPr>
          <w:sz w:val="22"/>
          <w:szCs w:val="22"/>
        </w:rPr>
      </w:pPr>
      <w:r w:rsidRPr="0025746E">
        <w:rPr>
          <w:sz w:val="22"/>
          <w:szCs w:val="22"/>
        </w:rPr>
        <w:t xml:space="preserve">in use. Of these, the most frequently encountered are feline immunodeficiency virus (FIV) vectors. In the Appendix B-V of the NIH Guidelines, a containment level appropriate for Risk Group 1 agents is recommended for use of certain animal viral etiologic agents not associated with disease in healthy </w:t>
      </w:r>
      <w:r w:rsidRPr="0025746E">
        <w:rPr>
          <w:sz w:val="22"/>
          <w:szCs w:val="22"/>
        </w:rPr>
        <w:lastRenderedPageBreak/>
        <w:t xml:space="preserve">human adults. However, replication-defective vectors in which a heterologous envelope (such as VSV-G) </w:t>
      </w:r>
      <w:proofErr w:type="gramStart"/>
      <w:r w:rsidRPr="0025746E">
        <w:rPr>
          <w:sz w:val="22"/>
          <w:szCs w:val="22"/>
        </w:rPr>
        <w:t>is</w:t>
      </w:r>
      <w:proofErr w:type="gramEnd"/>
      <w:r w:rsidRPr="0025746E">
        <w:rPr>
          <w:sz w:val="22"/>
          <w:szCs w:val="22"/>
        </w:rPr>
        <w:t xml:space="preserve"> used for vector packaging may require BL2 containment in the laboratory setting, since these vectors have the potential to transduce human cells, and thus have the potential to cause insertional mutagenesis. </w:t>
      </w:r>
      <w:proofErr w:type="gramStart"/>
      <w:r w:rsidRPr="0025746E">
        <w:rPr>
          <w:sz w:val="22"/>
          <w:szCs w:val="22"/>
        </w:rPr>
        <w:t>Under circumstances in which</w:t>
      </w:r>
      <w:proofErr w:type="gramEnd"/>
      <w:r w:rsidRPr="0025746E">
        <w:rPr>
          <w:sz w:val="22"/>
          <w:szCs w:val="22"/>
        </w:rPr>
        <w:t xml:space="preserve"> mice are not permissive hosts for FIV replication, BLN-1 containment may be acceptable for mouse housing and husbandry when dealing with mice that have received FIV vectors (subject to the considerations noted above). </w:t>
      </w:r>
    </w:p>
    <w:p w14:paraId="378B9D1D" w14:textId="77777777" w:rsidR="0025746E" w:rsidRDefault="0025746E" w:rsidP="0025746E">
      <w:pPr>
        <w:pStyle w:val="NoSpacing"/>
        <w:rPr>
          <w:sz w:val="22"/>
          <w:szCs w:val="22"/>
        </w:rPr>
      </w:pPr>
    </w:p>
    <w:p w14:paraId="1B8C7AB9" w14:textId="23CAD64A" w:rsidR="0025746E" w:rsidRPr="0025746E" w:rsidRDefault="0025746E" w:rsidP="0025746E">
      <w:pPr>
        <w:pStyle w:val="NoSpacing"/>
        <w:rPr>
          <w:sz w:val="22"/>
          <w:szCs w:val="22"/>
        </w:rPr>
      </w:pPr>
      <w:r w:rsidRPr="0025746E">
        <w:rPr>
          <w:b/>
          <w:bCs/>
          <w:sz w:val="22"/>
          <w:szCs w:val="22"/>
        </w:rPr>
        <w:t>Summary:</w:t>
      </w:r>
      <w:r w:rsidRPr="0025746E">
        <w:rPr>
          <w:sz w:val="22"/>
          <w:szCs w:val="22"/>
        </w:rPr>
        <w:t xml:space="preserve"> A comprehensive risk assessment and determination of containment for research with </w:t>
      </w:r>
    </w:p>
    <w:p w14:paraId="774CC247" w14:textId="77777777" w:rsidR="0025746E" w:rsidRPr="0025746E" w:rsidRDefault="0025746E" w:rsidP="0025746E">
      <w:pPr>
        <w:pStyle w:val="NoSpacing"/>
        <w:rPr>
          <w:sz w:val="22"/>
          <w:szCs w:val="22"/>
        </w:rPr>
      </w:pPr>
      <w:r w:rsidRPr="0025746E">
        <w:rPr>
          <w:sz w:val="22"/>
          <w:szCs w:val="22"/>
        </w:rPr>
        <w:t xml:space="preserve">lentiviral vectors should consider the nature of the vector system, transgene insert, and type of </w:t>
      </w:r>
    </w:p>
    <w:p w14:paraId="56C60B0A" w14:textId="77777777" w:rsidR="0025746E" w:rsidRPr="0025746E" w:rsidRDefault="0025746E" w:rsidP="0025746E">
      <w:pPr>
        <w:pStyle w:val="NoSpacing"/>
        <w:rPr>
          <w:sz w:val="22"/>
          <w:szCs w:val="22"/>
        </w:rPr>
      </w:pPr>
      <w:r w:rsidRPr="0025746E">
        <w:rPr>
          <w:sz w:val="22"/>
          <w:szCs w:val="22"/>
        </w:rPr>
        <w:t xml:space="preserve">manipulations involved. For many experiments, either BL-2 or enhanced BL-2 will be appropriate. </w:t>
      </w:r>
    </w:p>
    <w:p w14:paraId="1C37767F" w14:textId="02173F46" w:rsidR="0025746E" w:rsidRDefault="0025746E" w:rsidP="0025746E">
      <w:pPr>
        <w:pStyle w:val="NoSpacing"/>
        <w:rPr>
          <w:sz w:val="22"/>
          <w:szCs w:val="22"/>
        </w:rPr>
      </w:pPr>
      <w:r w:rsidRPr="0025746E">
        <w:rPr>
          <w:sz w:val="22"/>
          <w:szCs w:val="22"/>
        </w:rPr>
        <w:t xml:space="preserve">Examples of biosafety considerations and risk assessments for three different scenarios are included below. </w:t>
      </w:r>
    </w:p>
    <w:p w14:paraId="2AC51112" w14:textId="77777777" w:rsidR="006220DA" w:rsidRPr="0025746E" w:rsidRDefault="006220DA" w:rsidP="0025746E">
      <w:pPr>
        <w:pStyle w:val="NoSpacing"/>
        <w:rPr>
          <w:sz w:val="22"/>
          <w:szCs w:val="22"/>
        </w:rPr>
      </w:pPr>
    </w:p>
    <w:p w14:paraId="16C99A11" w14:textId="50E31CD2" w:rsidR="0025746E" w:rsidRPr="006220DA" w:rsidRDefault="0025746E" w:rsidP="0025746E">
      <w:pPr>
        <w:pStyle w:val="NoSpacing"/>
        <w:jc w:val="center"/>
        <w:rPr>
          <w:b/>
          <w:bCs/>
        </w:rPr>
      </w:pPr>
      <w:r w:rsidRPr="006220DA">
        <w:rPr>
          <w:b/>
          <w:bCs/>
        </w:rPr>
        <w:t>Examples of Biosafety Considerations</w:t>
      </w:r>
    </w:p>
    <w:p w14:paraId="193C3D73" w14:textId="77777777" w:rsidR="006220DA" w:rsidRDefault="006220DA" w:rsidP="0025746E">
      <w:pPr>
        <w:pStyle w:val="NoSpacing"/>
        <w:rPr>
          <w:sz w:val="22"/>
          <w:szCs w:val="22"/>
        </w:rPr>
      </w:pPr>
    </w:p>
    <w:p w14:paraId="4F282CEE" w14:textId="07A9D425" w:rsidR="0025746E" w:rsidRPr="0025746E" w:rsidRDefault="0025746E" w:rsidP="0025746E">
      <w:pPr>
        <w:pStyle w:val="NoSpacing"/>
        <w:rPr>
          <w:sz w:val="22"/>
          <w:szCs w:val="22"/>
        </w:rPr>
      </w:pPr>
      <w:r w:rsidRPr="0025746E">
        <w:rPr>
          <w:sz w:val="22"/>
          <w:szCs w:val="22"/>
        </w:rPr>
        <w:t xml:space="preserve">Vector Considerations </w:t>
      </w:r>
    </w:p>
    <w:p w14:paraId="4FC651AC" w14:textId="77777777" w:rsidR="0025746E" w:rsidRDefault="0025746E" w:rsidP="0025746E">
      <w:pPr>
        <w:pStyle w:val="NoSpacing"/>
        <w:numPr>
          <w:ilvl w:val="0"/>
          <w:numId w:val="3"/>
        </w:numPr>
        <w:rPr>
          <w:sz w:val="22"/>
          <w:szCs w:val="22"/>
        </w:rPr>
      </w:pPr>
      <w:r w:rsidRPr="0025746E">
        <w:rPr>
          <w:sz w:val="22"/>
          <w:szCs w:val="22"/>
        </w:rPr>
        <w:t xml:space="preserve">Potential for generation of RCL </w:t>
      </w:r>
    </w:p>
    <w:p w14:paraId="58DD3970" w14:textId="0089AC94" w:rsidR="0025746E" w:rsidRPr="0025746E" w:rsidRDefault="0025746E" w:rsidP="006220DA">
      <w:pPr>
        <w:pStyle w:val="NoSpacing"/>
        <w:numPr>
          <w:ilvl w:val="0"/>
          <w:numId w:val="6"/>
        </w:numPr>
        <w:rPr>
          <w:sz w:val="22"/>
          <w:szCs w:val="22"/>
        </w:rPr>
      </w:pPr>
      <w:r w:rsidRPr="0025746E">
        <w:rPr>
          <w:sz w:val="22"/>
          <w:szCs w:val="22"/>
        </w:rPr>
        <w:t xml:space="preserve">Vector and packaging functions separated onto multiple plasmids </w:t>
      </w:r>
    </w:p>
    <w:p w14:paraId="5450C4E2" w14:textId="7AF404FF" w:rsidR="0025746E" w:rsidRPr="0025746E" w:rsidRDefault="0025746E" w:rsidP="006220DA">
      <w:pPr>
        <w:pStyle w:val="NoSpacing"/>
        <w:numPr>
          <w:ilvl w:val="0"/>
          <w:numId w:val="6"/>
        </w:numPr>
        <w:rPr>
          <w:sz w:val="22"/>
          <w:szCs w:val="22"/>
        </w:rPr>
      </w:pPr>
      <w:r w:rsidRPr="0025746E">
        <w:rPr>
          <w:sz w:val="22"/>
          <w:szCs w:val="22"/>
        </w:rPr>
        <w:t xml:space="preserve">Deletion of viral genes </w:t>
      </w:r>
    </w:p>
    <w:p w14:paraId="7AEA08CA" w14:textId="6BC931DD" w:rsidR="0025746E" w:rsidRPr="006220DA" w:rsidRDefault="0025746E" w:rsidP="006220DA">
      <w:pPr>
        <w:pStyle w:val="NoSpacing"/>
        <w:numPr>
          <w:ilvl w:val="0"/>
          <w:numId w:val="5"/>
        </w:numPr>
        <w:ind w:left="720"/>
        <w:rPr>
          <w:sz w:val="22"/>
          <w:szCs w:val="22"/>
        </w:rPr>
      </w:pPr>
      <w:r w:rsidRPr="006220DA">
        <w:rPr>
          <w:sz w:val="22"/>
          <w:szCs w:val="22"/>
        </w:rPr>
        <w:t xml:space="preserve">Viral Env used in packaging system o Non-native Env (decrease potential for generation of RCL) </w:t>
      </w:r>
    </w:p>
    <w:p w14:paraId="7F601980" w14:textId="231EF67C" w:rsidR="0025746E" w:rsidRPr="0025746E" w:rsidRDefault="0025746E" w:rsidP="006220DA">
      <w:pPr>
        <w:pStyle w:val="NoSpacing"/>
        <w:numPr>
          <w:ilvl w:val="1"/>
          <w:numId w:val="4"/>
        </w:numPr>
        <w:ind w:left="1080"/>
        <w:rPr>
          <w:sz w:val="22"/>
          <w:szCs w:val="22"/>
        </w:rPr>
      </w:pPr>
      <w:r w:rsidRPr="0025746E">
        <w:rPr>
          <w:sz w:val="22"/>
          <w:szCs w:val="22"/>
        </w:rPr>
        <w:t xml:space="preserve">Coat protein that increases species or cell type tropism of parent virus (e.g., VSV-G) </w:t>
      </w:r>
    </w:p>
    <w:p w14:paraId="24BF47E6" w14:textId="75E2AE50" w:rsidR="0025746E" w:rsidRPr="0025746E" w:rsidRDefault="0025746E" w:rsidP="006220DA">
      <w:pPr>
        <w:pStyle w:val="NoSpacing"/>
        <w:numPr>
          <w:ilvl w:val="0"/>
          <w:numId w:val="5"/>
        </w:numPr>
        <w:ind w:left="720"/>
        <w:rPr>
          <w:sz w:val="22"/>
          <w:szCs w:val="22"/>
        </w:rPr>
      </w:pPr>
      <w:r w:rsidRPr="0025746E">
        <w:rPr>
          <w:sz w:val="22"/>
          <w:szCs w:val="22"/>
        </w:rPr>
        <w:t xml:space="preserve">Safety modifications (e.g., no expression of Tat) </w:t>
      </w:r>
    </w:p>
    <w:p w14:paraId="5CE2E64C" w14:textId="77777777" w:rsidR="006220DA" w:rsidRDefault="006220DA" w:rsidP="0025746E">
      <w:pPr>
        <w:pStyle w:val="NoSpacing"/>
        <w:rPr>
          <w:sz w:val="22"/>
          <w:szCs w:val="22"/>
        </w:rPr>
      </w:pPr>
    </w:p>
    <w:p w14:paraId="59361AE5" w14:textId="7122BE14" w:rsidR="0025746E" w:rsidRPr="0025746E" w:rsidRDefault="0025746E" w:rsidP="0025746E">
      <w:pPr>
        <w:pStyle w:val="NoSpacing"/>
        <w:rPr>
          <w:sz w:val="22"/>
          <w:szCs w:val="22"/>
        </w:rPr>
      </w:pPr>
      <w:r w:rsidRPr="0025746E">
        <w:rPr>
          <w:sz w:val="22"/>
          <w:szCs w:val="22"/>
        </w:rPr>
        <w:t xml:space="preserve">Transgene Considerations </w:t>
      </w:r>
    </w:p>
    <w:p w14:paraId="0BB2A2F4" w14:textId="41DBF860" w:rsidR="0025746E" w:rsidRPr="0025746E" w:rsidRDefault="0025746E" w:rsidP="006220DA">
      <w:pPr>
        <w:pStyle w:val="NoSpacing"/>
        <w:numPr>
          <w:ilvl w:val="0"/>
          <w:numId w:val="7"/>
        </w:numPr>
        <w:rPr>
          <w:sz w:val="22"/>
          <w:szCs w:val="22"/>
        </w:rPr>
      </w:pPr>
      <w:r w:rsidRPr="0025746E">
        <w:rPr>
          <w:sz w:val="22"/>
          <w:szCs w:val="22"/>
        </w:rPr>
        <w:t xml:space="preserve">Oncogene </w:t>
      </w:r>
    </w:p>
    <w:p w14:paraId="5F22235C" w14:textId="2ED44E6C" w:rsidR="0025746E" w:rsidRPr="0025746E" w:rsidRDefault="0025746E" w:rsidP="006220DA">
      <w:pPr>
        <w:pStyle w:val="NoSpacing"/>
        <w:numPr>
          <w:ilvl w:val="0"/>
          <w:numId w:val="7"/>
        </w:numPr>
        <w:rPr>
          <w:sz w:val="22"/>
          <w:szCs w:val="22"/>
        </w:rPr>
      </w:pPr>
      <w:r w:rsidRPr="0025746E">
        <w:rPr>
          <w:sz w:val="22"/>
          <w:szCs w:val="22"/>
        </w:rPr>
        <w:t xml:space="preserve">Non-oncogene </w:t>
      </w:r>
    </w:p>
    <w:p w14:paraId="2B4804DB" w14:textId="77777777" w:rsidR="006220DA" w:rsidRDefault="006220DA" w:rsidP="0025746E">
      <w:pPr>
        <w:pStyle w:val="NoSpacing"/>
        <w:rPr>
          <w:sz w:val="22"/>
          <w:szCs w:val="22"/>
        </w:rPr>
      </w:pPr>
    </w:p>
    <w:p w14:paraId="3BB36D85" w14:textId="50DC3773" w:rsidR="0025746E" w:rsidRPr="0025746E" w:rsidRDefault="0025746E" w:rsidP="0025746E">
      <w:pPr>
        <w:pStyle w:val="NoSpacing"/>
        <w:rPr>
          <w:sz w:val="22"/>
          <w:szCs w:val="22"/>
        </w:rPr>
      </w:pPr>
      <w:r w:rsidRPr="0025746E">
        <w:rPr>
          <w:sz w:val="22"/>
          <w:szCs w:val="22"/>
        </w:rPr>
        <w:t xml:space="preserve">Vector Generation Considerations </w:t>
      </w:r>
    </w:p>
    <w:p w14:paraId="6D7D4CC6" w14:textId="7E63E409" w:rsidR="0025746E" w:rsidRPr="0025746E" w:rsidRDefault="0025746E" w:rsidP="006220DA">
      <w:pPr>
        <w:pStyle w:val="NoSpacing"/>
        <w:numPr>
          <w:ilvl w:val="0"/>
          <w:numId w:val="5"/>
        </w:numPr>
        <w:ind w:left="720"/>
        <w:rPr>
          <w:sz w:val="22"/>
          <w:szCs w:val="22"/>
        </w:rPr>
      </w:pPr>
      <w:r w:rsidRPr="0025746E">
        <w:rPr>
          <w:sz w:val="22"/>
          <w:szCs w:val="22"/>
        </w:rPr>
        <w:t xml:space="preserve">Laboratory scale </w:t>
      </w:r>
    </w:p>
    <w:p w14:paraId="7AF73060" w14:textId="593038A3" w:rsidR="0025746E" w:rsidRPr="0025746E" w:rsidRDefault="0025746E" w:rsidP="006220DA">
      <w:pPr>
        <w:pStyle w:val="NoSpacing"/>
        <w:numPr>
          <w:ilvl w:val="0"/>
          <w:numId w:val="5"/>
        </w:numPr>
        <w:ind w:left="720"/>
        <w:rPr>
          <w:sz w:val="22"/>
          <w:szCs w:val="22"/>
        </w:rPr>
      </w:pPr>
      <w:r w:rsidRPr="0025746E">
        <w:rPr>
          <w:sz w:val="22"/>
          <w:szCs w:val="22"/>
        </w:rPr>
        <w:t xml:space="preserve">Large scale </w:t>
      </w:r>
    </w:p>
    <w:p w14:paraId="60614E18" w14:textId="77777777" w:rsidR="006220DA" w:rsidRDefault="006220DA" w:rsidP="0025746E">
      <w:pPr>
        <w:pStyle w:val="NoSpacing"/>
        <w:rPr>
          <w:sz w:val="22"/>
          <w:szCs w:val="22"/>
        </w:rPr>
      </w:pPr>
    </w:p>
    <w:p w14:paraId="7807DB2B" w14:textId="04EF0361" w:rsidR="0025746E" w:rsidRPr="0025746E" w:rsidRDefault="0025746E" w:rsidP="0025746E">
      <w:pPr>
        <w:pStyle w:val="NoSpacing"/>
        <w:rPr>
          <w:sz w:val="22"/>
          <w:szCs w:val="22"/>
        </w:rPr>
      </w:pPr>
      <w:r w:rsidRPr="0025746E">
        <w:rPr>
          <w:sz w:val="22"/>
          <w:szCs w:val="22"/>
        </w:rPr>
        <w:t xml:space="preserve">Animal Research Considerations </w:t>
      </w:r>
    </w:p>
    <w:p w14:paraId="606FEA0B" w14:textId="749DE873" w:rsidR="0025746E" w:rsidRPr="0025746E" w:rsidRDefault="0025746E" w:rsidP="006220DA">
      <w:pPr>
        <w:pStyle w:val="NoSpacing"/>
        <w:numPr>
          <w:ilvl w:val="0"/>
          <w:numId w:val="5"/>
        </w:numPr>
        <w:ind w:left="720"/>
        <w:rPr>
          <w:sz w:val="22"/>
          <w:szCs w:val="22"/>
        </w:rPr>
      </w:pPr>
      <w:r w:rsidRPr="0025746E">
        <w:rPr>
          <w:sz w:val="22"/>
          <w:szCs w:val="22"/>
        </w:rPr>
        <w:t xml:space="preserve">Permissive host </w:t>
      </w:r>
    </w:p>
    <w:p w14:paraId="407297B7" w14:textId="68EB6721" w:rsidR="0025746E" w:rsidRPr="0025746E" w:rsidRDefault="0025746E" w:rsidP="006220DA">
      <w:pPr>
        <w:pStyle w:val="NoSpacing"/>
        <w:numPr>
          <w:ilvl w:val="0"/>
          <w:numId w:val="5"/>
        </w:numPr>
        <w:ind w:left="720"/>
        <w:rPr>
          <w:sz w:val="22"/>
          <w:szCs w:val="22"/>
        </w:rPr>
      </w:pPr>
      <w:r w:rsidRPr="0025746E">
        <w:rPr>
          <w:sz w:val="22"/>
          <w:szCs w:val="22"/>
        </w:rPr>
        <w:t xml:space="preserve">Non-permissive host </w:t>
      </w:r>
    </w:p>
    <w:p w14:paraId="07331AA8" w14:textId="29E057CC" w:rsidR="0025746E" w:rsidRPr="0025746E" w:rsidRDefault="0025746E" w:rsidP="006220DA">
      <w:pPr>
        <w:pStyle w:val="NoSpacing"/>
        <w:numPr>
          <w:ilvl w:val="0"/>
          <w:numId w:val="5"/>
        </w:numPr>
        <w:ind w:left="720"/>
        <w:rPr>
          <w:sz w:val="22"/>
          <w:szCs w:val="22"/>
        </w:rPr>
      </w:pPr>
      <w:r w:rsidRPr="0025746E">
        <w:rPr>
          <w:sz w:val="22"/>
          <w:szCs w:val="22"/>
        </w:rPr>
        <w:t xml:space="preserve">Animal engrafted with permissive cells </w:t>
      </w:r>
    </w:p>
    <w:p w14:paraId="4E9243F8" w14:textId="1E94FBC9" w:rsidR="0025746E" w:rsidRPr="0025746E" w:rsidRDefault="0025746E" w:rsidP="006220DA">
      <w:pPr>
        <w:pStyle w:val="NoSpacing"/>
        <w:numPr>
          <w:ilvl w:val="0"/>
          <w:numId w:val="5"/>
        </w:numPr>
        <w:ind w:left="720"/>
        <w:rPr>
          <w:sz w:val="22"/>
          <w:szCs w:val="22"/>
        </w:rPr>
      </w:pPr>
      <w:r w:rsidRPr="0025746E">
        <w:rPr>
          <w:sz w:val="22"/>
          <w:szCs w:val="22"/>
        </w:rPr>
        <w:t xml:space="preserve">Vector Administration (e.g., injection) </w:t>
      </w:r>
    </w:p>
    <w:p w14:paraId="5C466FFC" w14:textId="548C1D38" w:rsidR="0025746E" w:rsidRPr="0025746E" w:rsidRDefault="0025746E" w:rsidP="006220DA">
      <w:pPr>
        <w:pStyle w:val="NoSpacing"/>
        <w:numPr>
          <w:ilvl w:val="0"/>
          <w:numId w:val="5"/>
        </w:numPr>
        <w:ind w:left="720"/>
        <w:rPr>
          <w:sz w:val="22"/>
          <w:szCs w:val="22"/>
        </w:rPr>
      </w:pPr>
      <w:r w:rsidRPr="0025746E">
        <w:rPr>
          <w:sz w:val="22"/>
          <w:szCs w:val="22"/>
        </w:rPr>
        <w:t xml:space="preserve">Housing and husbandry </w:t>
      </w:r>
    </w:p>
    <w:p w14:paraId="67FFEB16" w14:textId="77777777" w:rsidR="006220DA" w:rsidRDefault="006220DA" w:rsidP="0025746E">
      <w:pPr>
        <w:pStyle w:val="NoSpacing"/>
        <w:rPr>
          <w:sz w:val="22"/>
          <w:szCs w:val="22"/>
        </w:rPr>
      </w:pPr>
    </w:p>
    <w:p w14:paraId="15431029" w14:textId="6C893D42" w:rsidR="0025746E" w:rsidRPr="0025746E" w:rsidRDefault="0025746E" w:rsidP="0025746E">
      <w:pPr>
        <w:pStyle w:val="NoSpacing"/>
        <w:rPr>
          <w:sz w:val="22"/>
          <w:szCs w:val="22"/>
        </w:rPr>
      </w:pPr>
      <w:r w:rsidRPr="0025746E">
        <w:rPr>
          <w:sz w:val="22"/>
          <w:szCs w:val="22"/>
        </w:rPr>
        <w:t xml:space="preserve">Practices, Containment Equipment and Training Considerations </w:t>
      </w:r>
    </w:p>
    <w:p w14:paraId="48CFA0CD" w14:textId="70346B37" w:rsidR="0025746E" w:rsidRPr="0025746E" w:rsidRDefault="0025746E" w:rsidP="006220DA">
      <w:pPr>
        <w:pStyle w:val="NoSpacing"/>
        <w:numPr>
          <w:ilvl w:val="0"/>
          <w:numId w:val="5"/>
        </w:numPr>
        <w:ind w:left="720"/>
        <w:rPr>
          <w:sz w:val="22"/>
          <w:szCs w:val="22"/>
        </w:rPr>
      </w:pPr>
      <w:r w:rsidRPr="0025746E">
        <w:rPr>
          <w:sz w:val="22"/>
          <w:szCs w:val="22"/>
        </w:rPr>
        <w:t xml:space="preserve">Training in </w:t>
      </w:r>
      <w:proofErr w:type="gramStart"/>
      <w:r w:rsidRPr="0025746E">
        <w:rPr>
          <w:sz w:val="22"/>
          <w:szCs w:val="22"/>
        </w:rPr>
        <w:t>use</w:t>
      </w:r>
      <w:proofErr w:type="gramEnd"/>
      <w:r w:rsidRPr="0025746E">
        <w:rPr>
          <w:sz w:val="22"/>
          <w:szCs w:val="22"/>
        </w:rPr>
        <w:t xml:space="preserve"> of PPE </w:t>
      </w:r>
    </w:p>
    <w:p w14:paraId="6058C33E" w14:textId="2602141E" w:rsidR="0025746E" w:rsidRPr="0025746E" w:rsidRDefault="0025746E" w:rsidP="006220DA">
      <w:pPr>
        <w:pStyle w:val="NoSpacing"/>
        <w:numPr>
          <w:ilvl w:val="0"/>
          <w:numId w:val="5"/>
        </w:numPr>
        <w:ind w:left="720"/>
        <w:rPr>
          <w:sz w:val="22"/>
          <w:szCs w:val="22"/>
        </w:rPr>
      </w:pPr>
      <w:r w:rsidRPr="0025746E">
        <w:rPr>
          <w:sz w:val="22"/>
          <w:szCs w:val="22"/>
        </w:rPr>
        <w:t xml:space="preserve">Availability of safety equipment (e.g., sealed centrifuge rotor cups) </w:t>
      </w:r>
    </w:p>
    <w:p w14:paraId="48471B82" w14:textId="38CA958C" w:rsidR="0025746E" w:rsidRPr="0025746E" w:rsidRDefault="0025746E" w:rsidP="006220DA">
      <w:pPr>
        <w:pStyle w:val="NoSpacing"/>
        <w:numPr>
          <w:ilvl w:val="0"/>
          <w:numId w:val="5"/>
        </w:numPr>
        <w:ind w:left="720"/>
        <w:rPr>
          <w:sz w:val="22"/>
          <w:szCs w:val="22"/>
        </w:rPr>
      </w:pPr>
      <w:r w:rsidRPr="0025746E">
        <w:rPr>
          <w:sz w:val="22"/>
          <w:szCs w:val="22"/>
        </w:rPr>
        <w:t xml:space="preserve">Laboratory-specific safety and spill cleanup protocols </w:t>
      </w:r>
    </w:p>
    <w:p w14:paraId="3CB292D6" w14:textId="4ED7DCBF" w:rsidR="00C412A6" w:rsidRDefault="0025746E" w:rsidP="006220DA">
      <w:pPr>
        <w:pStyle w:val="NoSpacing"/>
        <w:numPr>
          <w:ilvl w:val="0"/>
          <w:numId w:val="5"/>
        </w:numPr>
        <w:ind w:left="720"/>
        <w:rPr>
          <w:sz w:val="22"/>
          <w:szCs w:val="22"/>
        </w:rPr>
      </w:pPr>
      <w:r w:rsidRPr="0025746E">
        <w:rPr>
          <w:sz w:val="22"/>
          <w:szCs w:val="22"/>
        </w:rPr>
        <w:t>Availability of on-site occupational health support in the event of accident</w:t>
      </w:r>
    </w:p>
    <w:p w14:paraId="3D41F829" w14:textId="77777777" w:rsidR="006220DA" w:rsidRDefault="006220DA" w:rsidP="006220DA">
      <w:pPr>
        <w:pStyle w:val="NoSpacing"/>
        <w:rPr>
          <w:sz w:val="22"/>
          <w:szCs w:val="22"/>
        </w:rPr>
      </w:pPr>
    </w:p>
    <w:p w14:paraId="1658E805" w14:textId="77777777" w:rsidR="006220DA" w:rsidRDefault="006220DA" w:rsidP="006220DA">
      <w:pPr>
        <w:pStyle w:val="NoSpacing"/>
        <w:rPr>
          <w:sz w:val="22"/>
          <w:szCs w:val="22"/>
        </w:rPr>
      </w:pPr>
    </w:p>
    <w:p w14:paraId="383C5A3A" w14:textId="77777777" w:rsidR="006220DA" w:rsidRDefault="006220DA" w:rsidP="006220DA">
      <w:pPr>
        <w:pStyle w:val="NoSpacing"/>
        <w:rPr>
          <w:sz w:val="22"/>
          <w:szCs w:val="22"/>
        </w:rPr>
      </w:pPr>
    </w:p>
    <w:p w14:paraId="7C8DB3C4" w14:textId="77777777" w:rsidR="006220DA" w:rsidRDefault="006220DA" w:rsidP="006220DA">
      <w:pPr>
        <w:pStyle w:val="NoSpacing"/>
        <w:rPr>
          <w:sz w:val="22"/>
          <w:szCs w:val="22"/>
        </w:rPr>
      </w:pPr>
    </w:p>
    <w:p w14:paraId="3981EFD7" w14:textId="77777777" w:rsidR="006220DA" w:rsidRDefault="006220DA" w:rsidP="006220DA">
      <w:pPr>
        <w:pStyle w:val="NoSpacing"/>
        <w:rPr>
          <w:sz w:val="22"/>
          <w:szCs w:val="22"/>
        </w:rPr>
      </w:pPr>
    </w:p>
    <w:p w14:paraId="0D5AAE72" w14:textId="77777777" w:rsidR="006220DA" w:rsidRDefault="006220DA" w:rsidP="006220DA">
      <w:pPr>
        <w:pStyle w:val="NoSpacing"/>
        <w:rPr>
          <w:sz w:val="22"/>
          <w:szCs w:val="22"/>
        </w:rPr>
      </w:pPr>
    </w:p>
    <w:p w14:paraId="24D17A8A" w14:textId="77777777" w:rsidR="006220DA" w:rsidRDefault="006220DA" w:rsidP="006220DA">
      <w:pPr>
        <w:pStyle w:val="NoSpacing"/>
        <w:rPr>
          <w:sz w:val="22"/>
          <w:szCs w:val="22"/>
        </w:rPr>
      </w:pPr>
    </w:p>
    <w:p w14:paraId="158A9449" w14:textId="62F55B89" w:rsidR="006220DA" w:rsidRDefault="006220DA" w:rsidP="006220DA">
      <w:pPr>
        <w:pStyle w:val="NoSpacing"/>
        <w:jc w:val="center"/>
        <w:rPr>
          <w:b/>
          <w:bCs/>
          <w:sz w:val="22"/>
          <w:szCs w:val="22"/>
        </w:rPr>
      </w:pPr>
      <w:r w:rsidRPr="006220DA">
        <w:rPr>
          <w:b/>
          <w:bCs/>
          <w:sz w:val="22"/>
          <w:szCs w:val="22"/>
        </w:rPr>
        <w:lastRenderedPageBreak/>
        <w:t>Biosafety Considerations and Risk Levels</w:t>
      </w:r>
    </w:p>
    <w:p w14:paraId="002C8BC7" w14:textId="77777777" w:rsidR="006220DA" w:rsidRDefault="006220DA" w:rsidP="006220DA">
      <w:pPr>
        <w:pStyle w:val="NoSpacing"/>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780"/>
        <w:gridCol w:w="3901"/>
      </w:tblGrid>
      <w:tr w:rsidR="006220DA" w14:paraId="35D03CC6" w14:textId="77777777" w:rsidTr="00123056">
        <w:tc>
          <w:tcPr>
            <w:tcW w:w="2245" w:type="dxa"/>
            <w:vAlign w:val="center"/>
          </w:tcPr>
          <w:p w14:paraId="1C9FCC30" w14:textId="711FFEBF" w:rsidR="006220DA" w:rsidRPr="006220DA" w:rsidRDefault="006220DA" w:rsidP="006220DA">
            <w:pPr>
              <w:pStyle w:val="NoSpacing"/>
              <w:jc w:val="center"/>
              <w:rPr>
                <w:b/>
                <w:bCs/>
                <w:sz w:val="22"/>
                <w:szCs w:val="22"/>
              </w:rPr>
            </w:pPr>
            <w:r w:rsidRPr="006220DA">
              <w:rPr>
                <w:b/>
                <w:bCs/>
                <w:sz w:val="22"/>
                <w:szCs w:val="22"/>
              </w:rPr>
              <w:t>Biosafety</w:t>
            </w:r>
          </w:p>
          <w:p w14:paraId="5A19AA98" w14:textId="39690F00" w:rsidR="006220DA" w:rsidRPr="006220DA" w:rsidRDefault="006220DA" w:rsidP="006220DA">
            <w:pPr>
              <w:pStyle w:val="NoSpacing"/>
              <w:jc w:val="center"/>
              <w:rPr>
                <w:b/>
                <w:bCs/>
                <w:sz w:val="22"/>
                <w:szCs w:val="22"/>
              </w:rPr>
            </w:pPr>
            <w:r w:rsidRPr="006220DA">
              <w:rPr>
                <w:b/>
                <w:bCs/>
                <w:sz w:val="22"/>
                <w:szCs w:val="22"/>
              </w:rPr>
              <w:t>Considerations</w:t>
            </w:r>
          </w:p>
        </w:tc>
        <w:tc>
          <w:tcPr>
            <w:tcW w:w="3780" w:type="dxa"/>
            <w:vAlign w:val="center"/>
          </w:tcPr>
          <w:p w14:paraId="25B25EDD" w14:textId="69B1F0E4" w:rsidR="006220DA" w:rsidRPr="006220DA" w:rsidRDefault="006220DA" w:rsidP="006220DA">
            <w:pPr>
              <w:pStyle w:val="NoSpacing"/>
              <w:jc w:val="center"/>
              <w:rPr>
                <w:b/>
                <w:bCs/>
                <w:sz w:val="22"/>
                <w:szCs w:val="22"/>
              </w:rPr>
            </w:pPr>
            <w:r w:rsidRPr="006220DA">
              <w:rPr>
                <w:b/>
                <w:bCs/>
                <w:sz w:val="22"/>
                <w:szCs w:val="22"/>
              </w:rPr>
              <w:t>Higher Risk</w:t>
            </w:r>
          </w:p>
        </w:tc>
        <w:tc>
          <w:tcPr>
            <w:tcW w:w="3901" w:type="dxa"/>
            <w:vAlign w:val="center"/>
          </w:tcPr>
          <w:p w14:paraId="46EE0F5D" w14:textId="28F31A74" w:rsidR="006220DA" w:rsidRPr="006220DA" w:rsidRDefault="006220DA" w:rsidP="006220DA">
            <w:pPr>
              <w:pStyle w:val="NoSpacing"/>
              <w:jc w:val="center"/>
              <w:rPr>
                <w:b/>
                <w:bCs/>
                <w:sz w:val="22"/>
                <w:szCs w:val="22"/>
              </w:rPr>
            </w:pPr>
            <w:r w:rsidRPr="006220DA">
              <w:rPr>
                <w:b/>
                <w:bCs/>
                <w:sz w:val="22"/>
                <w:szCs w:val="22"/>
              </w:rPr>
              <w:t>Lower Risk</w:t>
            </w:r>
          </w:p>
        </w:tc>
      </w:tr>
      <w:tr w:rsidR="006220DA" w14:paraId="48FBDC10" w14:textId="77777777" w:rsidTr="00123056">
        <w:tc>
          <w:tcPr>
            <w:tcW w:w="2245" w:type="dxa"/>
          </w:tcPr>
          <w:p w14:paraId="694FD3E8" w14:textId="77777777" w:rsidR="006220DA" w:rsidRDefault="006220DA" w:rsidP="006220DA">
            <w:pPr>
              <w:pStyle w:val="NoSpacing"/>
              <w:rPr>
                <w:sz w:val="22"/>
                <w:szCs w:val="22"/>
              </w:rPr>
            </w:pPr>
          </w:p>
          <w:p w14:paraId="10B8578B" w14:textId="77777777" w:rsidR="00123056" w:rsidRDefault="00123056" w:rsidP="006220DA">
            <w:pPr>
              <w:pStyle w:val="NoSpacing"/>
              <w:rPr>
                <w:sz w:val="22"/>
                <w:szCs w:val="22"/>
              </w:rPr>
            </w:pPr>
          </w:p>
        </w:tc>
        <w:tc>
          <w:tcPr>
            <w:tcW w:w="7681" w:type="dxa"/>
            <w:gridSpan w:val="2"/>
            <w:vAlign w:val="center"/>
          </w:tcPr>
          <w:p w14:paraId="11140B22" w14:textId="0DBE1A2D" w:rsidR="006220DA" w:rsidRDefault="00123056" w:rsidP="00123056">
            <w:pPr>
              <w:pStyle w:val="NoSpacing"/>
              <w:jc w:val="center"/>
              <w:rPr>
                <w:sz w:val="22"/>
                <w:szCs w:val="22"/>
              </w:rPr>
            </w:pPr>
            <w:r>
              <w:rPr>
                <w:noProof/>
                <w:sz w:val="22"/>
                <w:szCs w:val="22"/>
              </w:rPr>
              <mc:AlternateContent>
                <mc:Choice Requires="wps">
                  <w:drawing>
                    <wp:anchor distT="0" distB="0" distL="114300" distR="114300" simplePos="0" relativeHeight="251659264" behindDoc="0" locked="0" layoutInCell="1" allowOverlap="1" wp14:anchorId="57DFEF1F" wp14:editId="2F060242">
                      <wp:simplePos x="0" y="0"/>
                      <wp:positionH relativeFrom="column">
                        <wp:posOffset>31750</wp:posOffset>
                      </wp:positionH>
                      <wp:positionV relativeFrom="paragraph">
                        <wp:posOffset>-19685</wp:posOffset>
                      </wp:positionV>
                      <wp:extent cx="4638675" cy="371475"/>
                      <wp:effectExtent l="0" t="0" r="9525" b="9525"/>
                      <wp:wrapNone/>
                      <wp:docPr id="1210497435" name="Arrow: Left-Right 1"/>
                      <wp:cNvGraphicFramePr/>
                      <a:graphic xmlns:a="http://schemas.openxmlformats.org/drawingml/2006/main">
                        <a:graphicData uri="http://schemas.microsoft.com/office/word/2010/wordprocessingShape">
                          <wps:wsp>
                            <wps:cNvSpPr/>
                            <wps:spPr>
                              <a:xfrm>
                                <a:off x="0" y="0"/>
                                <a:ext cx="4638675" cy="371475"/>
                              </a:xfrm>
                              <a:prstGeom prst="leftRightArrow">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99CA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 o:spid="_x0000_s1026" type="#_x0000_t69" style="position:absolute;margin-left:2.5pt;margin-top:-1.55pt;width:365.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" adj="865" fillcolor="#336f1e [2153]" stroked="f">
                      <v:fill color2="#8dd873 [1945]" rotate="t" angle="90" colors="0 #34701f;31457f #51ae30;1 #8ed973" focus="100%" type="gradient"/>
                    </v:shape>
                  </w:pict>
                </mc:Fallback>
              </mc:AlternateContent>
            </w:r>
          </w:p>
        </w:tc>
      </w:tr>
      <w:tr w:rsidR="006220DA" w14:paraId="1D81BC26" w14:textId="77777777" w:rsidTr="00123056">
        <w:tc>
          <w:tcPr>
            <w:tcW w:w="2245" w:type="dxa"/>
          </w:tcPr>
          <w:p w14:paraId="01361AF2" w14:textId="1B140DC6" w:rsidR="006220DA" w:rsidRDefault="006220DA" w:rsidP="006220DA">
            <w:pPr>
              <w:pStyle w:val="NoSpacing"/>
              <w:rPr>
                <w:sz w:val="22"/>
                <w:szCs w:val="22"/>
              </w:rPr>
            </w:pPr>
            <w:r w:rsidRPr="006220DA">
              <w:rPr>
                <w:sz w:val="22"/>
                <w:szCs w:val="22"/>
              </w:rPr>
              <w:t>Vector Design</w:t>
            </w:r>
          </w:p>
        </w:tc>
        <w:tc>
          <w:tcPr>
            <w:tcW w:w="3780" w:type="dxa"/>
          </w:tcPr>
          <w:p w14:paraId="7CBB5DC8" w14:textId="4D1730F6" w:rsidR="006220DA" w:rsidRPr="006220DA" w:rsidRDefault="006220DA" w:rsidP="006220DA">
            <w:pPr>
              <w:pStyle w:val="NoSpacing"/>
              <w:numPr>
                <w:ilvl w:val="0"/>
                <w:numId w:val="10"/>
              </w:numPr>
              <w:rPr>
                <w:sz w:val="22"/>
                <w:szCs w:val="22"/>
              </w:rPr>
            </w:pPr>
            <w:r w:rsidRPr="006220DA">
              <w:rPr>
                <w:sz w:val="22"/>
                <w:szCs w:val="22"/>
              </w:rPr>
              <w:t xml:space="preserve">Vector packaging functions </w:t>
            </w:r>
            <w:r w:rsidRPr="006220DA">
              <w:rPr>
                <w:sz w:val="22"/>
                <w:szCs w:val="22"/>
              </w:rPr>
              <w:t xml:space="preserve">on </w:t>
            </w:r>
            <w:r>
              <w:rPr>
                <w:sz w:val="22"/>
                <w:szCs w:val="22"/>
              </w:rPr>
              <w:t>two</w:t>
            </w:r>
            <w:r w:rsidRPr="006220DA">
              <w:rPr>
                <w:sz w:val="22"/>
                <w:szCs w:val="22"/>
              </w:rPr>
              <w:t xml:space="preserve"> </w:t>
            </w:r>
            <w:r>
              <w:rPr>
                <w:sz w:val="22"/>
                <w:szCs w:val="22"/>
              </w:rPr>
              <w:t>p</w:t>
            </w:r>
            <w:r w:rsidRPr="006220DA">
              <w:rPr>
                <w:sz w:val="22"/>
                <w:szCs w:val="22"/>
              </w:rPr>
              <w:t xml:space="preserve">lasmids </w:t>
            </w:r>
          </w:p>
          <w:p w14:paraId="13B4742F" w14:textId="1F80F8B9" w:rsidR="006220DA" w:rsidRDefault="006220DA" w:rsidP="006220DA">
            <w:pPr>
              <w:pStyle w:val="NoSpacing"/>
              <w:numPr>
                <w:ilvl w:val="0"/>
                <w:numId w:val="10"/>
              </w:numPr>
              <w:rPr>
                <w:sz w:val="22"/>
                <w:szCs w:val="22"/>
              </w:rPr>
            </w:pPr>
            <w:r w:rsidRPr="006220DA">
              <w:rPr>
                <w:sz w:val="22"/>
                <w:szCs w:val="22"/>
              </w:rPr>
              <w:t>Expression of viral genes</w:t>
            </w:r>
          </w:p>
        </w:tc>
        <w:tc>
          <w:tcPr>
            <w:tcW w:w="3901" w:type="dxa"/>
          </w:tcPr>
          <w:p w14:paraId="53CC9759" w14:textId="48E2F142" w:rsidR="006220DA" w:rsidRPr="006220DA" w:rsidRDefault="006220DA" w:rsidP="006220DA">
            <w:pPr>
              <w:pStyle w:val="NoSpacing"/>
              <w:numPr>
                <w:ilvl w:val="0"/>
                <w:numId w:val="10"/>
              </w:numPr>
              <w:rPr>
                <w:sz w:val="22"/>
                <w:szCs w:val="22"/>
              </w:rPr>
            </w:pPr>
            <w:r w:rsidRPr="006220DA">
              <w:rPr>
                <w:sz w:val="22"/>
                <w:szCs w:val="22"/>
              </w:rPr>
              <w:t xml:space="preserve">Vector and packaging functions separated onto multiple plasmids </w:t>
            </w:r>
          </w:p>
          <w:p w14:paraId="0CD9E062" w14:textId="6953B1AE" w:rsidR="006220DA" w:rsidRDefault="006220DA" w:rsidP="006220DA">
            <w:pPr>
              <w:pStyle w:val="NoSpacing"/>
              <w:numPr>
                <w:ilvl w:val="0"/>
                <w:numId w:val="10"/>
              </w:numPr>
              <w:rPr>
                <w:sz w:val="22"/>
                <w:szCs w:val="22"/>
              </w:rPr>
            </w:pPr>
            <w:r w:rsidRPr="006220DA">
              <w:rPr>
                <w:sz w:val="22"/>
                <w:szCs w:val="22"/>
              </w:rPr>
              <w:t>Deletion of viral genes</w:t>
            </w:r>
          </w:p>
        </w:tc>
      </w:tr>
      <w:tr w:rsidR="006220DA" w14:paraId="5423CC5B" w14:textId="77777777" w:rsidTr="00123056">
        <w:tc>
          <w:tcPr>
            <w:tcW w:w="2245" w:type="dxa"/>
          </w:tcPr>
          <w:p w14:paraId="151BC3E7" w14:textId="52BEDFB4" w:rsidR="006220DA" w:rsidRDefault="006220DA" w:rsidP="006220DA">
            <w:pPr>
              <w:pStyle w:val="NoSpacing"/>
              <w:rPr>
                <w:sz w:val="22"/>
                <w:szCs w:val="22"/>
              </w:rPr>
            </w:pPr>
            <w:r w:rsidRPr="006220DA">
              <w:rPr>
                <w:sz w:val="22"/>
                <w:szCs w:val="22"/>
              </w:rPr>
              <w:t>Transgene</w:t>
            </w:r>
          </w:p>
        </w:tc>
        <w:tc>
          <w:tcPr>
            <w:tcW w:w="3780" w:type="dxa"/>
          </w:tcPr>
          <w:p w14:paraId="653738B0" w14:textId="15D0D68D" w:rsidR="006220DA" w:rsidRDefault="006220DA" w:rsidP="006220DA">
            <w:pPr>
              <w:pStyle w:val="NoSpacing"/>
              <w:numPr>
                <w:ilvl w:val="0"/>
                <w:numId w:val="11"/>
              </w:numPr>
              <w:rPr>
                <w:sz w:val="22"/>
                <w:szCs w:val="22"/>
              </w:rPr>
            </w:pPr>
            <w:r w:rsidRPr="006220DA">
              <w:rPr>
                <w:sz w:val="22"/>
                <w:szCs w:val="22"/>
              </w:rPr>
              <w:t>Oncogene</w:t>
            </w:r>
          </w:p>
        </w:tc>
        <w:tc>
          <w:tcPr>
            <w:tcW w:w="3901" w:type="dxa"/>
          </w:tcPr>
          <w:p w14:paraId="1286B03D" w14:textId="01B83B1C" w:rsidR="006220DA" w:rsidRDefault="006220DA" w:rsidP="006220DA">
            <w:pPr>
              <w:pStyle w:val="NoSpacing"/>
              <w:numPr>
                <w:ilvl w:val="0"/>
                <w:numId w:val="11"/>
              </w:numPr>
              <w:rPr>
                <w:sz w:val="22"/>
                <w:szCs w:val="22"/>
              </w:rPr>
            </w:pPr>
            <w:r w:rsidRPr="006220DA">
              <w:rPr>
                <w:sz w:val="22"/>
                <w:szCs w:val="22"/>
              </w:rPr>
              <w:t>Non-oncogene</w:t>
            </w:r>
          </w:p>
        </w:tc>
      </w:tr>
      <w:tr w:rsidR="006220DA" w14:paraId="6651E004" w14:textId="77777777" w:rsidTr="00123056">
        <w:tc>
          <w:tcPr>
            <w:tcW w:w="2245" w:type="dxa"/>
          </w:tcPr>
          <w:p w14:paraId="7C63A1BC" w14:textId="2CE3634C" w:rsidR="006220DA" w:rsidRDefault="006220DA" w:rsidP="006220DA">
            <w:pPr>
              <w:pStyle w:val="NoSpacing"/>
              <w:rPr>
                <w:sz w:val="22"/>
                <w:szCs w:val="22"/>
              </w:rPr>
            </w:pPr>
            <w:r w:rsidRPr="006220DA">
              <w:rPr>
                <w:sz w:val="22"/>
                <w:szCs w:val="22"/>
              </w:rPr>
              <w:t>Vector Generation</w:t>
            </w:r>
          </w:p>
        </w:tc>
        <w:tc>
          <w:tcPr>
            <w:tcW w:w="3780" w:type="dxa"/>
          </w:tcPr>
          <w:p w14:paraId="1540B1F8" w14:textId="2AEEECE9" w:rsidR="006220DA" w:rsidRDefault="006220DA" w:rsidP="006220DA">
            <w:pPr>
              <w:pStyle w:val="NoSpacing"/>
              <w:numPr>
                <w:ilvl w:val="0"/>
                <w:numId w:val="12"/>
              </w:numPr>
              <w:rPr>
                <w:sz w:val="22"/>
                <w:szCs w:val="22"/>
              </w:rPr>
            </w:pPr>
            <w:r w:rsidRPr="006220DA">
              <w:rPr>
                <w:sz w:val="22"/>
                <w:szCs w:val="22"/>
              </w:rPr>
              <w:t>Large scale</w:t>
            </w:r>
          </w:p>
        </w:tc>
        <w:tc>
          <w:tcPr>
            <w:tcW w:w="3901" w:type="dxa"/>
          </w:tcPr>
          <w:p w14:paraId="6DF8368E" w14:textId="598C16FB" w:rsidR="006220DA" w:rsidRDefault="006220DA" w:rsidP="006220DA">
            <w:pPr>
              <w:pStyle w:val="NoSpacing"/>
              <w:numPr>
                <w:ilvl w:val="0"/>
                <w:numId w:val="12"/>
              </w:numPr>
              <w:rPr>
                <w:sz w:val="22"/>
                <w:szCs w:val="22"/>
              </w:rPr>
            </w:pPr>
            <w:r w:rsidRPr="006220DA">
              <w:rPr>
                <w:sz w:val="22"/>
                <w:szCs w:val="22"/>
              </w:rPr>
              <w:t>Laboratory scale</w:t>
            </w:r>
          </w:p>
        </w:tc>
      </w:tr>
      <w:tr w:rsidR="006220DA" w14:paraId="3322C759" w14:textId="77777777" w:rsidTr="00123056">
        <w:tc>
          <w:tcPr>
            <w:tcW w:w="2245" w:type="dxa"/>
          </w:tcPr>
          <w:p w14:paraId="6E0BF229" w14:textId="00DD16F7" w:rsidR="006220DA" w:rsidRDefault="006220DA" w:rsidP="006220DA">
            <w:pPr>
              <w:pStyle w:val="NoSpacing"/>
              <w:rPr>
                <w:sz w:val="22"/>
                <w:szCs w:val="22"/>
              </w:rPr>
            </w:pPr>
            <w:r w:rsidRPr="006220DA">
              <w:rPr>
                <w:sz w:val="22"/>
                <w:szCs w:val="22"/>
              </w:rPr>
              <w:t>Animal Hosts</w:t>
            </w:r>
          </w:p>
        </w:tc>
        <w:tc>
          <w:tcPr>
            <w:tcW w:w="3780" w:type="dxa"/>
          </w:tcPr>
          <w:p w14:paraId="34EA7E7B" w14:textId="77777777" w:rsidR="006220DA" w:rsidRPr="006220DA" w:rsidRDefault="006220DA" w:rsidP="006220DA">
            <w:pPr>
              <w:pStyle w:val="NoSpacing"/>
              <w:numPr>
                <w:ilvl w:val="0"/>
                <w:numId w:val="13"/>
              </w:numPr>
              <w:rPr>
                <w:sz w:val="22"/>
                <w:szCs w:val="22"/>
              </w:rPr>
            </w:pPr>
            <w:r w:rsidRPr="006220DA">
              <w:rPr>
                <w:sz w:val="22"/>
                <w:szCs w:val="22"/>
              </w:rPr>
              <w:t>Permissive host</w:t>
            </w:r>
          </w:p>
          <w:p w14:paraId="5B5600A2" w14:textId="322CE2E6" w:rsidR="006220DA" w:rsidRDefault="006220DA" w:rsidP="006220DA">
            <w:pPr>
              <w:pStyle w:val="NoSpacing"/>
              <w:numPr>
                <w:ilvl w:val="0"/>
                <w:numId w:val="13"/>
              </w:numPr>
              <w:rPr>
                <w:sz w:val="22"/>
                <w:szCs w:val="22"/>
              </w:rPr>
            </w:pPr>
            <w:r w:rsidRPr="006220DA">
              <w:rPr>
                <w:sz w:val="22"/>
                <w:szCs w:val="22"/>
              </w:rPr>
              <w:t>Animals engrafted with human cells</w:t>
            </w:r>
          </w:p>
        </w:tc>
        <w:tc>
          <w:tcPr>
            <w:tcW w:w="3901" w:type="dxa"/>
          </w:tcPr>
          <w:p w14:paraId="0D633CDE" w14:textId="362E37E3" w:rsidR="006220DA" w:rsidRDefault="006220DA" w:rsidP="006220DA">
            <w:pPr>
              <w:pStyle w:val="NoSpacing"/>
              <w:numPr>
                <w:ilvl w:val="0"/>
                <w:numId w:val="13"/>
              </w:numPr>
              <w:rPr>
                <w:sz w:val="22"/>
                <w:szCs w:val="22"/>
              </w:rPr>
            </w:pPr>
            <w:r w:rsidRPr="006220DA">
              <w:rPr>
                <w:sz w:val="22"/>
                <w:szCs w:val="22"/>
              </w:rPr>
              <w:t>Non-permissive host</w:t>
            </w:r>
          </w:p>
        </w:tc>
      </w:tr>
      <w:tr w:rsidR="006220DA" w14:paraId="6865BB84" w14:textId="77777777" w:rsidTr="00123056">
        <w:tc>
          <w:tcPr>
            <w:tcW w:w="2245" w:type="dxa"/>
          </w:tcPr>
          <w:p w14:paraId="04F56526" w14:textId="510595EA" w:rsidR="006220DA" w:rsidRDefault="006220DA" w:rsidP="006220DA">
            <w:pPr>
              <w:pStyle w:val="NoSpacing"/>
              <w:rPr>
                <w:sz w:val="22"/>
                <w:szCs w:val="22"/>
              </w:rPr>
            </w:pPr>
            <w:r w:rsidRPr="006220DA">
              <w:rPr>
                <w:sz w:val="22"/>
                <w:szCs w:val="22"/>
              </w:rPr>
              <w:t>Animal Manipulation</w:t>
            </w:r>
          </w:p>
        </w:tc>
        <w:tc>
          <w:tcPr>
            <w:tcW w:w="3780" w:type="dxa"/>
          </w:tcPr>
          <w:p w14:paraId="55361FCC" w14:textId="37F9F07A" w:rsidR="006220DA" w:rsidRDefault="006220DA" w:rsidP="006220DA">
            <w:pPr>
              <w:pStyle w:val="NoSpacing"/>
              <w:numPr>
                <w:ilvl w:val="0"/>
                <w:numId w:val="13"/>
              </w:numPr>
              <w:rPr>
                <w:sz w:val="22"/>
                <w:szCs w:val="22"/>
              </w:rPr>
            </w:pPr>
            <w:r w:rsidRPr="006220DA">
              <w:rPr>
                <w:sz w:val="22"/>
                <w:szCs w:val="22"/>
              </w:rPr>
              <w:t>Vector administration (e.g., use of sharps during injection</w:t>
            </w:r>
          </w:p>
        </w:tc>
        <w:tc>
          <w:tcPr>
            <w:tcW w:w="3901" w:type="dxa"/>
          </w:tcPr>
          <w:p w14:paraId="186EA968" w14:textId="7B39AE9B" w:rsidR="006220DA" w:rsidRDefault="00123056" w:rsidP="00123056">
            <w:pPr>
              <w:pStyle w:val="NoSpacing"/>
              <w:numPr>
                <w:ilvl w:val="0"/>
                <w:numId w:val="13"/>
              </w:numPr>
              <w:rPr>
                <w:sz w:val="22"/>
                <w:szCs w:val="22"/>
              </w:rPr>
            </w:pPr>
            <w:r w:rsidRPr="00123056">
              <w:rPr>
                <w:sz w:val="22"/>
                <w:szCs w:val="22"/>
              </w:rPr>
              <w:t>Housing and husbandry (no use of sharps)</w:t>
            </w:r>
          </w:p>
        </w:tc>
      </w:tr>
    </w:tbl>
    <w:p w14:paraId="015DA8FD" w14:textId="77777777" w:rsidR="006220DA" w:rsidRDefault="006220DA" w:rsidP="006220DA">
      <w:pPr>
        <w:pStyle w:val="NoSpacing"/>
        <w:rPr>
          <w:sz w:val="22"/>
          <w:szCs w:val="22"/>
        </w:rPr>
      </w:pPr>
    </w:p>
    <w:p w14:paraId="09B25412" w14:textId="77777777" w:rsidR="00123056" w:rsidRPr="00123056" w:rsidRDefault="00123056" w:rsidP="006220DA">
      <w:pPr>
        <w:pStyle w:val="NoSpacing"/>
        <w:rPr>
          <w:b/>
          <w:bCs/>
        </w:rPr>
      </w:pPr>
      <w:r w:rsidRPr="00123056">
        <w:rPr>
          <w:b/>
          <w:bCs/>
        </w:rPr>
        <w:t xml:space="preserve">EXAMPLE SCENARIOS </w:t>
      </w:r>
    </w:p>
    <w:p w14:paraId="29D72CDE" w14:textId="77777777" w:rsidR="00123056" w:rsidRDefault="00123056" w:rsidP="006220DA">
      <w:pPr>
        <w:pStyle w:val="NoSpacing"/>
      </w:pPr>
    </w:p>
    <w:p w14:paraId="5B748E15" w14:textId="77777777" w:rsidR="00123056" w:rsidRPr="00123056" w:rsidRDefault="00123056" w:rsidP="006220DA">
      <w:pPr>
        <w:pStyle w:val="NoSpacing"/>
        <w:rPr>
          <w:b/>
          <w:bCs/>
          <w:sz w:val="22"/>
          <w:szCs w:val="22"/>
        </w:rPr>
      </w:pPr>
      <w:r w:rsidRPr="00123056">
        <w:rPr>
          <w:b/>
          <w:bCs/>
          <w:sz w:val="22"/>
          <w:szCs w:val="22"/>
        </w:rPr>
        <w:t xml:space="preserve">EXAMPLE ONE: In vitro study A: </w:t>
      </w:r>
    </w:p>
    <w:p w14:paraId="1FB71086" w14:textId="77777777" w:rsidR="00123056" w:rsidRPr="00123056" w:rsidRDefault="00123056" w:rsidP="006220DA">
      <w:pPr>
        <w:pStyle w:val="NoSpacing"/>
        <w:rPr>
          <w:b/>
          <w:bCs/>
          <w:sz w:val="22"/>
          <w:szCs w:val="22"/>
        </w:rPr>
      </w:pPr>
      <w:r w:rsidRPr="00123056">
        <w:rPr>
          <w:b/>
          <w:bCs/>
          <w:sz w:val="22"/>
          <w:szCs w:val="22"/>
        </w:rPr>
        <w:t xml:space="preserve">Use of a 4-plasmid derived lentivirus vector encoding siRNA against </w:t>
      </w:r>
      <w:proofErr w:type="spellStart"/>
      <w:r w:rsidRPr="00123056">
        <w:rPr>
          <w:b/>
          <w:bCs/>
          <w:sz w:val="22"/>
          <w:szCs w:val="22"/>
        </w:rPr>
        <w:t>Lck</w:t>
      </w:r>
      <w:proofErr w:type="spellEnd"/>
      <w:r w:rsidRPr="00123056">
        <w:rPr>
          <w:b/>
          <w:bCs/>
          <w:sz w:val="22"/>
          <w:szCs w:val="22"/>
        </w:rPr>
        <w:t xml:space="preserve"> in primary human T cells. </w:t>
      </w:r>
    </w:p>
    <w:p w14:paraId="52D4F594" w14:textId="77777777" w:rsidR="00123056" w:rsidRDefault="00123056" w:rsidP="006220DA">
      <w:pPr>
        <w:pStyle w:val="NoSpacing"/>
        <w:rPr>
          <w:sz w:val="22"/>
          <w:szCs w:val="22"/>
        </w:rPr>
      </w:pPr>
    </w:p>
    <w:p w14:paraId="39F99195" w14:textId="77777777" w:rsidR="00123056" w:rsidRPr="00123056" w:rsidRDefault="00123056" w:rsidP="006220DA">
      <w:pPr>
        <w:pStyle w:val="NoSpacing"/>
        <w:rPr>
          <w:sz w:val="22"/>
          <w:szCs w:val="22"/>
          <w:u w:val="single"/>
        </w:rPr>
      </w:pPr>
      <w:r w:rsidRPr="00123056">
        <w:rPr>
          <w:sz w:val="22"/>
          <w:szCs w:val="22"/>
          <w:u w:val="single"/>
        </w:rPr>
        <w:t xml:space="preserve">Considerations </w:t>
      </w:r>
    </w:p>
    <w:p w14:paraId="2048D491" w14:textId="77777777" w:rsidR="00123056" w:rsidRPr="00123056" w:rsidRDefault="00123056" w:rsidP="006220DA">
      <w:pPr>
        <w:pStyle w:val="NoSpacing"/>
        <w:rPr>
          <w:i/>
          <w:iCs/>
          <w:sz w:val="22"/>
          <w:szCs w:val="22"/>
        </w:rPr>
      </w:pPr>
      <w:r w:rsidRPr="00123056">
        <w:rPr>
          <w:i/>
          <w:iCs/>
          <w:sz w:val="22"/>
          <w:szCs w:val="22"/>
        </w:rPr>
        <w:t xml:space="preserve">1. What is the amount of vector to be produced? A = LOW (100 ml) </w:t>
      </w:r>
    </w:p>
    <w:p w14:paraId="5DD7459D" w14:textId="77777777" w:rsidR="00123056" w:rsidRPr="00123056" w:rsidRDefault="00123056" w:rsidP="006220DA">
      <w:pPr>
        <w:pStyle w:val="NoSpacing"/>
        <w:rPr>
          <w:i/>
          <w:iCs/>
          <w:sz w:val="22"/>
          <w:szCs w:val="22"/>
        </w:rPr>
      </w:pPr>
      <w:r w:rsidRPr="00123056">
        <w:rPr>
          <w:i/>
          <w:iCs/>
          <w:sz w:val="22"/>
          <w:szCs w:val="22"/>
        </w:rPr>
        <w:t xml:space="preserve">2. What is the nature of the vector? A = 4-Plasmid System </w:t>
      </w:r>
    </w:p>
    <w:p w14:paraId="759864AA" w14:textId="77777777" w:rsidR="00123056" w:rsidRDefault="00123056" w:rsidP="006220DA">
      <w:pPr>
        <w:pStyle w:val="NoSpacing"/>
        <w:rPr>
          <w:sz w:val="22"/>
          <w:szCs w:val="22"/>
        </w:rPr>
      </w:pPr>
      <w:r w:rsidRPr="00123056">
        <w:rPr>
          <w:i/>
          <w:iCs/>
          <w:sz w:val="22"/>
          <w:szCs w:val="22"/>
        </w:rPr>
        <w:t xml:space="preserve">3. What is the nature of the insert? A = </w:t>
      </w:r>
      <w:proofErr w:type="gramStart"/>
      <w:r w:rsidRPr="00123056">
        <w:rPr>
          <w:i/>
          <w:iCs/>
          <w:sz w:val="22"/>
          <w:szCs w:val="22"/>
        </w:rPr>
        <w:t>Non-Oncogenic</w:t>
      </w:r>
      <w:proofErr w:type="gramEnd"/>
      <w:r w:rsidRPr="00123056">
        <w:rPr>
          <w:sz w:val="22"/>
          <w:szCs w:val="22"/>
        </w:rPr>
        <w:t xml:space="preserve"> </w:t>
      </w:r>
    </w:p>
    <w:p w14:paraId="1DF006E5" w14:textId="77777777" w:rsidR="00123056" w:rsidRDefault="00123056" w:rsidP="006220DA">
      <w:pPr>
        <w:pStyle w:val="NoSpacing"/>
        <w:rPr>
          <w:sz w:val="22"/>
          <w:szCs w:val="22"/>
        </w:rPr>
      </w:pPr>
    </w:p>
    <w:p w14:paraId="29F42AE9" w14:textId="77777777" w:rsidR="00123056" w:rsidRDefault="00123056" w:rsidP="006220DA">
      <w:pPr>
        <w:pStyle w:val="NoSpacing"/>
        <w:rPr>
          <w:sz w:val="22"/>
          <w:szCs w:val="22"/>
        </w:rPr>
      </w:pPr>
      <w:r w:rsidRPr="00123056">
        <w:rPr>
          <w:sz w:val="22"/>
          <w:szCs w:val="22"/>
        </w:rPr>
        <w:t xml:space="preserve">Tentative Safety Assessment = BL2 </w:t>
      </w:r>
    </w:p>
    <w:p w14:paraId="18BC3D97" w14:textId="63EE39B2" w:rsidR="00123056" w:rsidRPr="00123056" w:rsidRDefault="00123056" w:rsidP="006220DA">
      <w:pPr>
        <w:pStyle w:val="NoSpacing"/>
        <w:rPr>
          <w:i/>
          <w:iCs/>
          <w:sz w:val="22"/>
          <w:szCs w:val="22"/>
        </w:rPr>
      </w:pPr>
      <w:r w:rsidRPr="00123056">
        <w:rPr>
          <w:i/>
          <w:iCs/>
          <w:sz w:val="22"/>
          <w:szCs w:val="22"/>
        </w:rPr>
        <w:t xml:space="preserve">(Note that the use of primary human cells would require BSL2 containment, independent of the vector, as well as use of Universal Precautions and compliance with the OHSA standard for </w:t>
      </w:r>
      <w:r w:rsidRPr="00123056">
        <w:rPr>
          <w:i/>
          <w:iCs/>
          <w:sz w:val="22"/>
          <w:szCs w:val="22"/>
        </w:rPr>
        <w:t>Bloodborne</w:t>
      </w:r>
      <w:r w:rsidRPr="00123056">
        <w:rPr>
          <w:i/>
          <w:iCs/>
          <w:sz w:val="22"/>
          <w:szCs w:val="22"/>
        </w:rPr>
        <w:t xml:space="preserve"> Pathogens) </w:t>
      </w:r>
    </w:p>
    <w:p w14:paraId="1CDA3BF3" w14:textId="77777777" w:rsidR="00123056" w:rsidRDefault="00123056" w:rsidP="006220DA">
      <w:pPr>
        <w:pStyle w:val="NoSpacing"/>
        <w:rPr>
          <w:sz w:val="22"/>
          <w:szCs w:val="22"/>
        </w:rPr>
      </w:pPr>
    </w:p>
    <w:p w14:paraId="3503A414" w14:textId="77777777" w:rsidR="00123056" w:rsidRPr="00123056" w:rsidRDefault="00123056" w:rsidP="006220DA">
      <w:pPr>
        <w:pStyle w:val="NoSpacing"/>
        <w:rPr>
          <w:b/>
          <w:bCs/>
          <w:sz w:val="22"/>
          <w:szCs w:val="22"/>
        </w:rPr>
      </w:pPr>
      <w:r w:rsidRPr="00123056">
        <w:rPr>
          <w:b/>
          <w:bCs/>
          <w:sz w:val="22"/>
          <w:szCs w:val="22"/>
        </w:rPr>
        <w:t xml:space="preserve">EXAMPLE TWO: In vitro study B: </w:t>
      </w:r>
    </w:p>
    <w:p w14:paraId="7304787E" w14:textId="77777777" w:rsidR="00123056" w:rsidRPr="00123056" w:rsidRDefault="00123056" w:rsidP="006220DA">
      <w:pPr>
        <w:pStyle w:val="NoSpacing"/>
        <w:rPr>
          <w:b/>
          <w:bCs/>
          <w:sz w:val="22"/>
          <w:szCs w:val="22"/>
        </w:rPr>
      </w:pPr>
      <w:r w:rsidRPr="00123056">
        <w:rPr>
          <w:b/>
          <w:bCs/>
          <w:sz w:val="22"/>
          <w:szCs w:val="22"/>
        </w:rPr>
        <w:t xml:space="preserve">Use of a 2-plasmid derived lentivirus vector encoding luciferase in a human cell line (A549 cells). </w:t>
      </w:r>
    </w:p>
    <w:p w14:paraId="4FE90FF3" w14:textId="77777777" w:rsidR="00123056" w:rsidRDefault="00123056" w:rsidP="006220DA">
      <w:pPr>
        <w:pStyle w:val="NoSpacing"/>
        <w:rPr>
          <w:sz w:val="22"/>
          <w:szCs w:val="22"/>
        </w:rPr>
      </w:pPr>
    </w:p>
    <w:p w14:paraId="4BEAE263" w14:textId="77777777" w:rsidR="00123056" w:rsidRPr="00123056" w:rsidRDefault="00123056" w:rsidP="006220DA">
      <w:pPr>
        <w:pStyle w:val="NoSpacing"/>
        <w:rPr>
          <w:sz w:val="22"/>
          <w:szCs w:val="22"/>
          <w:u w:val="single"/>
        </w:rPr>
      </w:pPr>
      <w:r w:rsidRPr="00123056">
        <w:rPr>
          <w:sz w:val="22"/>
          <w:szCs w:val="22"/>
          <w:u w:val="single"/>
        </w:rPr>
        <w:t xml:space="preserve">Considerations </w:t>
      </w:r>
    </w:p>
    <w:p w14:paraId="348D7D95" w14:textId="77777777" w:rsidR="00123056" w:rsidRPr="00123056" w:rsidRDefault="00123056" w:rsidP="006220DA">
      <w:pPr>
        <w:pStyle w:val="NoSpacing"/>
        <w:rPr>
          <w:i/>
          <w:iCs/>
          <w:sz w:val="22"/>
          <w:szCs w:val="22"/>
        </w:rPr>
      </w:pPr>
      <w:r w:rsidRPr="00123056">
        <w:rPr>
          <w:i/>
          <w:iCs/>
          <w:sz w:val="22"/>
          <w:szCs w:val="22"/>
        </w:rPr>
        <w:t xml:space="preserve">1. What is the amount of vector to be produced? A = LOW (100 ml) </w:t>
      </w:r>
    </w:p>
    <w:p w14:paraId="2BB11223" w14:textId="77777777" w:rsidR="00123056" w:rsidRPr="00123056" w:rsidRDefault="00123056" w:rsidP="006220DA">
      <w:pPr>
        <w:pStyle w:val="NoSpacing"/>
        <w:rPr>
          <w:i/>
          <w:iCs/>
          <w:sz w:val="22"/>
          <w:szCs w:val="22"/>
        </w:rPr>
      </w:pPr>
      <w:r w:rsidRPr="00123056">
        <w:rPr>
          <w:i/>
          <w:iCs/>
          <w:sz w:val="22"/>
          <w:szCs w:val="22"/>
        </w:rPr>
        <w:t xml:space="preserve">2. What is the nature of the vector? A = 2-Plasmid System (non-commercial) </w:t>
      </w:r>
    </w:p>
    <w:p w14:paraId="0EB5C33D" w14:textId="33179B64" w:rsidR="00123056" w:rsidRDefault="00123056" w:rsidP="006220DA">
      <w:pPr>
        <w:pStyle w:val="NoSpacing"/>
        <w:rPr>
          <w:i/>
          <w:iCs/>
          <w:sz w:val="22"/>
          <w:szCs w:val="22"/>
        </w:rPr>
      </w:pPr>
      <w:r w:rsidRPr="00123056">
        <w:rPr>
          <w:i/>
          <w:iCs/>
          <w:sz w:val="22"/>
          <w:szCs w:val="22"/>
        </w:rPr>
        <w:t xml:space="preserve">3. What is the nature of the insert? A = </w:t>
      </w:r>
      <w:proofErr w:type="gramStart"/>
      <w:r w:rsidRPr="00123056">
        <w:rPr>
          <w:i/>
          <w:iCs/>
          <w:sz w:val="22"/>
          <w:szCs w:val="22"/>
        </w:rPr>
        <w:t>Non-Oncogenic</w:t>
      </w:r>
      <w:proofErr w:type="gramEnd"/>
    </w:p>
    <w:p w14:paraId="14936A69" w14:textId="77777777" w:rsidR="00123056" w:rsidRDefault="00123056" w:rsidP="006220DA">
      <w:pPr>
        <w:pStyle w:val="NoSpacing"/>
        <w:rPr>
          <w:i/>
          <w:iCs/>
          <w:sz w:val="22"/>
          <w:szCs w:val="22"/>
        </w:rPr>
      </w:pPr>
    </w:p>
    <w:p w14:paraId="5125666C" w14:textId="77777777" w:rsidR="00123056" w:rsidRPr="00123056" w:rsidRDefault="00123056" w:rsidP="00123056">
      <w:pPr>
        <w:pStyle w:val="NoSpacing"/>
        <w:rPr>
          <w:sz w:val="22"/>
          <w:szCs w:val="22"/>
        </w:rPr>
      </w:pPr>
      <w:r w:rsidRPr="00123056">
        <w:rPr>
          <w:sz w:val="22"/>
          <w:szCs w:val="22"/>
        </w:rPr>
        <w:t xml:space="preserve">Tentative Safety Assessment = BL2 enhanced </w:t>
      </w:r>
    </w:p>
    <w:p w14:paraId="32A06C14" w14:textId="77777777" w:rsidR="00123056" w:rsidRDefault="00123056" w:rsidP="00123056">
      <w:pPr>
        <w:pStyle w:val="NoSpacing"/>
        <w:rPr>
          <w:sz w:val="22"/>
          <w:szCs w:val="22"/>
        </w:rPr>
      </w:pPr>
    </w:p>
    <w:p w14:paraId="22D7173A" w14:textId="7DC2BB82" w:rsidR="00123056" w:rsidRPr="00123056" w:rsidRDefault="00123056" w:rsidP="00123056">
      <w:pPr>
        <w:pStyle w:val="NoSpacing"/>
        <w:rPr>
          <w:sz w:val="22"/>
          <w:szCs w:val="22"/>
        </w:rPr>
      </w:pPr>
      <w:r w:rsidRPr="00123056">
        <w:rPr>
          <w:sz w:val="22"/>
          <w:szCs w:val="22"/>
        </w:rPr>
        <w:t xml:space="preserve">BSL2 "enhanced" stipulations might include: </w:t>
      </w:r>
    </w:p>
    <w:p w14:paraId="30A2C551" w14:textId="44F49273" w:rsidR="00123056" w:rsidRPr="00123056" w:rsidRDefault="00123056" w:rsidP="00123056">
      <w:pPr>
        <w:pStyle w:val="NoSpacing"/>
        <w:numPr>
          <w:ilvl w:val="0"/>
          <w:numId w:val="13"/>
        </w:numPr>
        <w:rPr>
          <w:sz w:val="22"/>
          <w:szCs w:val="22"/>
        </w:rPr>
      </w:pPr>
      <w:r w:rsidRPr="00123056">
        <w:rPr>
          <w:sz w:val="22"/>
          <w:szCs w:val="22"/>
        </w:rPr>
        <w:t xml:space="preserve">Avoidance of needles and sharps, where possible </w:t>
      </w:r>
    </w:p>
    <w:p w14:paraId="7DA92760" w14:textId="635CB271" w:rsidR="00123056" w:rsidRPr="00123056" w:rsidRDefault="00123056" w:rsidP="00123056">
      <w:pPr>
        <w:pStyle w:val="NoSpacing"/>
        <w:numPr>
          <w:ilvl w:val="0"/>
          <w:numId w:val="14"/>
        </w:numPr>
        <w:rPr>
          <w:sz w:val="22"/>
          <w:szCs w:val="22"/>
        </w:rPr>
      </w:pPr>
      <w:r w:rsidRPr="00123056">
        <w:rPr>
          <w:sz w:val="22"/>
          <w:szCs w:val="22"/>
        </w:rPr>
        <w:t xml:space="preserve">Use of a containment hood for all work with the vector (including the loading and unloading of centrifuge rotors, which should have an aerosol-tight seal) </w:t>
      </w:r>
    </w:p>
    <w:p w14:paraId="262A8B3A" w14:textId="4318D44C" w:rsidR="00123056" w:rsidRPr="00D62D27" w:rsidRDefault="00123056" w:rsidP="00123056">
      <w:pPr>
        <w:pStyle w:val="NoSpacing"/>
        <w:numPr>
          <w:ilvl w:val="0"/>
          <w:numId w:val="14"/>
        </w:numPr>
        <w:rPr>
          <w:sz w:val="22"/>
          <w:szCs w:val="22"/>
        </w:rPr>
      </w:pPr>
      <w:r w:rsidRPr="00D62D27">
        <w:rPr>
          <w:sz w:val="22"/>
          <w:szCs w:val="22"/>
        </w:rPr>
        <w:t xml:space="preserve">Use of personal protective equipment [PPE] designed to prevent a mucosal exposure/splash to the face and exposure of hands (especially in persons with broken skin or open cuts) </w:t>
      </w:r>
    </w:p>
    <w:p w14:paraId="3532531C" w14:textId="62239C39" w:rsidR="00123056" w:rsidRPr="00D62D27" w:rsidRDefault="00123056" w:rsidP="00123056">
      <w:pPr>
        <w:pStyle w:val="NoSpacing"/>
        <w:numPr>
          <w:ilvl w:val="0"/>
          <w:numId w:val="14"/>
        </w:numPr>
        <w:rPr>
          <w:sz w:val="22"/>
          <w:szCs w:val="22"/>
        </w:rPr>
      </w:pPr>
      <w:r w:rsidRPr="00D62D27">
        <w:rPr>
          <w:sz w:val="22"/>
          <w:szCs w:val="22"/>
        </w:rPr>
        <w:t xml:space="preserve">A requirement for an in-person consultation between biosafety staff and lab personnel prior to initiation of experiments </w:t>
      </w:r>
    </w:p>
    <w:p w14:paraId="0C7D4CB6" w14:textId="77777777" w:rsidR="00123056" w:rsidRDefault="00123056" w:rsidP="00123056">
      <w:pPr>
        <w:pStyle w:val="NoSpacing"/>
        <w:rPr>
          <w:sz w:val="22"/>
          <w:szCs w:val="22"/>
        </w:rPr>
      </w:pPr>
    </w:p>
    <w:p w14:paraId="66AB19E8" w14:textId="4F5F0CDD" w:rsidR="00123056" w:rsidRPr="00D62D27" w:rsidRDefault="00123056" w:rsidP="00123056">
      <w:pPr>
        <w:pStyle w:val="NoSpacing"/>
        <w:rPr>
          <w:b/>
          <w:bCs/>
          <w:sz w:val="22"/>
          <w:szCs w:val="22"/>
        </w:rPr>
      </w:pPr>
      <w:r w:rsidRPr="00D62D27">
        <w:rPr>
          <w:b/>
          <w:bCs/>
          <w:sz w:val="22"/>
          <w:szCs w:val="22"/>
        </w:rPr>
        <w:lastRenderedPageBreak/>
        <w:t xml:space="preserve">EXAMPLE THREE: In vivo study A </w:t>
      </w:r>
    </w:p>
    <w:p w14:paraId="4D0DD716" w14:textId="77777777" w:rsidR="00123056" w:rsidRPr="00D62D27" w:rsidRDefault="00123056" w:rsidP="00123056">
      <w:pPr>
        <w:pStyle w:val="NoSpacing"/>
        <w:rPr>
          <w:b/>
          <w:bCs/>
          <w:sz w:val="22"/>
          <w:szCs w:val="22"/>
        </w:rPr>
      </w:pPr>
      <w:r w:rsidRPr="00D62D27">
        <w:rPr>
          <w:b/>
          <w:bCs/>
          <w:sz w:val="22"/>
          <w:szCs w:val="22"/>
        </w:rPr>
        <w:t xml:space="preserve">Use of a 4-plasmid derived lentivirus vector encoding brain-derived neurotrophic factor </w:t>
      </w:r>
    </w:p>
    <w:p w14:paraId="27013FDC" w14:textId="77777777" w:rsidR="00123056" w:rsidRPr="00123056" w:rsidRDefault="00123056" w:rsidP="00123056">
      <w:pPr>
        <w:pStyle w:val="NoSpacing"/>
        <w:rPr>
          <w:sz w:val="22"/>
          <w:szCs w:val="22"/>
        </w:rPr>
      </w:pPr>
      <w:r w:rsidRPr="00D62D27">
        <w:rPr>
          <w:b/>
          <w:bCs/>
          <w:sz w:val="22"/>
          <w:szCs w:val="22"/>
        </w:rPr>
        <w:t>(BDNF) in mouse brain</w:t>
      </w:r>
      <w:r w:rsidRPr="00123056">
        <w:rPr>
          <w:sz w:val="22"/>
          <w:szCs w:val="22"/>
        </w:rPr>
        <w:t xml:space="preserve"> </w:t>
      </w:r>
    </w:p>
    <w:p w14:paraId="5F3BEA5A" w14:textId="77777777" w:rsidR="00D62D27" w:rsidRDefault="00D62D27" w:rsidP="00123056">
      <w:pPr>
        <w:pStyle w:val="NoSpacing"/>
        <w:rPr>
          <w:sz w:val="22"/>
          <w:szCs w:val="22"/>
        </w:rPr>
      </w:pPr>
    </w:p>
    <w:p w14:paraId="75FB9EBB" w14:textId="0B2D2D9F" w:rsidR="00123056" w:rsidRPr="00D62D27" w:rsidRDefault="00123056" w:rsidP="00123056">
      <w:pPr>
        <w:pStyle w:val="NoSpacing"/>
        <w:rPr>
          <w:sz w:val="22"/>
          <w:szCs w:val="22"/>
          <w:u w:val="single"/>
        </w:rPr>
      </w:pPr>
      <w:r w:rsidRPr="00D62D27">
        <w:rPr>
          <w:sz w:val="22"/>
          <w:szCs w:val="22"/>
          <w:u w:val="single"/>
        </w:rPr>
        <w:t>Considerations</w:t>
      </w:r>
    </w:p>
    <w:p w14:paraId="51055488" w14:textId="77777777" w:rsidR="00123056" w:rsidRPr="00D62D27" w:rsidRDefault="00123056" w:rsidP="00123056">
      <w:pPr>
        <w:pStyle w:val="NoSpacing"/>
        <w:rPr>
          <w:i/>
          <w:iCs/>
          <w:sz w:val="22"/>
          <w:szCs w:val="22"/>
        </w:rPr>
      </w:pPr>
      <w:r w:rsidRPr="00D62D27">
        <w:rPr>
          <w:i/>
          <w:iCs/>
          <w:sz w:val="22"/>
          <w:szCs w:val="22"/>
        </w:rPr>
        <w:t xml:space="preserve">1. What is the amount of vector to be produced? A = LOW (100 ml) </w:t>
      </w:r>
    </w:p>
    <w:p w14:paraId="5488D520" w14:textId="77777777" w:rsidR="00123056" w:rsidRPr="00D62D27" w:rsidRDefault="00123056" w:rsidP="00123056">
      <w:pPr>
        <w:pStyle w:val="NoSpacing"/>
        <w:rPr>
          <w:i/>
          <w:iCs/>
          <w:sz w:val="22"/>
          <w:szCs w:val="22"/>
        </w:rPr>
      </w:pPr>
      <w:r w:rsidRPr="00D62D27">
        <w:rPr>
          <w:i/>
          <w:iCs/>
          <w:sz w:val="22"/>
          <w:szCs w:val="22"/>
        </w:rPr>
        <w:t xml:space="preserve">2. What is the nature of the vector? A = 4-Plasmid System </w:t>
      </w:r>
    </w:p>
    <w:p w14:paraId="2064FFCC" w14:textId="77777777" w:rsidR="00123056" w:rsidRPr="00D62D27" w:rsidRDefault="00123056" w:rsidP="00123056">
      <w:pPr>
        <w:pStyle w:val="NoSpacing"/>
        <w:rPr>
          <w:i/>
          <w:iCs/>
          <w:sz w:val="22"/>
          <w:szCs w:val="22"/>
        </w:rPr>
      </w:pPr>
      <w:r w:rsidRPr="00D62D27">
        <w:rPr>
          <w:i/>
          <w:iCs/>
          <w:sz w:val="22"/>
          <w:szCs w:val="22"/>
        </w:rPr>
        <w:t xml:space="preserve">3. What is the nature of the insert? A = </w:t>
      </w:r>
      <w:proofErr w:type="gramStart"/>
      <w:r w:rsidRPr="00D62D27">
        <w:rPr>
          <w:i/>
          <w:iCs/>
          <w:sz w:val="22"/>
          <w:szCs w:val="22"/>
        </w:rPr>
        <w:t>Non-Oncogenic</w:t>
      </w:r>
      <w:proofErr w:type="gramEnd"/>
      <w:r w:rsidRPr="00D62D27">
        <w:rPr>
          <w:i/>
          <w:iCs/>
          <w:sz w:val="22"/>
          <w:szCs w:val="22"/>
        </w:rPr>
        <w:t xml:space="preserve"> (*: see below) </w:t>
      </w:r>
    </w:p>
    <w:p w14:paraId="5DB60069" w14:textId="77777777" w:rsidR="00123056" w:rsidRPr="00123056" w:rsidRDefault="00123056" w:rsidP="00123056">
      <w:pPr>
        <w:pStyle w:val="NoSpacing"/>
        <w:rPr>
          <w:sz w:val="22"/>
          <w:szCs w:val="22"/>
        </w:rPr>
      </w:pPr>
      <w:r w:rsidRPr="00D62D27">
        <w:rPr>
          <w:i/>
          <w:iCs/>
          <w:sz w:val="22"/>
          <w:szCs w:val="22"/>
        </w:rPr>
        <w:t>4. What is the nature of the animal host? A = Non-</w:t>
      </w:r>
      <w:proofErr w:type="gramStart"/>
      <w:r w:rsidRPr="00D62D27">
        <w:rPr>
          <w:i/>
          <w:iCs/>
          <w:sz w:val="22"/>
          <w:szCs w:val="22"/>
        </w:rPr>
        <w:t>permissive</w:t>
      </w:r>
      <w:proofErr w:type="gramEnd"/>
      <w:r w:rsidRPr="00D62D27">
        <w:rPr>
          <w:i/>
          <w:iCs/>
          <w:sz w:val="22"/>
          <w:szCs w:val="22"/>
        </w:rPr>
        <w:t xml:space="preserve"> for HIV-1</w:t>
      </w:r>
      <w:r w:rsidRPr="00123056">
        <w:rPr>
          <w:sz w:val="22"/>
          <w:szCs w:val="22"/>
        </w:rPr>
        <w:t xml:space="preserve"> </w:t>
      </w:r>
    </w:p>
    <w:p w14:paraId="76097D01" w14:textId="77777777" w:rsidR="00D62D27" w:rsidRDefault="00D62D27" w:rsidP="00123056">
      <w:pPr>
        <w:pStyle w:val="NoSpacing"/>
        <w:rPr>
          <w:sz w:val="22"/>
          <w:szCs w:val="22"/>
        </w:rPr>
      </w:pPr>
    </w:p>
    <w:p w14:paraId="2A3AAB0A" w14:textId="189A6460" w:rsidR="00123056" w:rsidRPr="00123056" w:rsidRDefault="00123056" w:rsidP="00123056">
      <w:pPr>
        <w:pStyle w:val="NoSpacing"/>
        <w:rPr>
          <w:sz w:val="22"/>
          <w:szCs w:val="22"/>
        </w:rPr>
      </w:pPr>
      <w:r w:rsidRPr="00123056">
        <w:rPr>
          <w:sz w:val="22"/>
          <w:szCs w:val="22"/>
        </w:rPr>
        <w:t xml:space="preserve">Tentative Safety Assessment = BL2-N for lab work and initial injection of mice (which would probably </w:t>
      </w:r>
    </w:p>
    <w:p w14:paraId="27C071E1" w14:textId="77777777" w:rsidR="00123056" w:rsidRPr="00123056" w:rsidRDefault="00123056" w:rsidP="00123056">
      <w:pPr>
        <w:pStyle w:val="NoSpacing"/>
        <w:rPr>
          <w:sz w:val="22"/>
          <w:szCs w:val="22"/>
        </w:rPr>
      </w:pPr>
      <w:r w:rsidRPr="00123056">
        <w:rPr>
          <w:sz w:val="22"/>
          <w:szCs w:val="22"/>
        </w:rPr>
        <w:t xml:space="preserve">be done using a stereotactic frame); after 1-7 days, animals could be moved to BL1-N containment. </w:t>
      </w:r>
    </w:p>
    <w:p w14:paraId="54607E63" w14:textId="77777777" w:rsidR="00D62D27" w:rsidRDefault="00D62D27" w:rsidP="00123056">
      <w:pPr>
        <w:pStyle w:val="NoSpacing"/>
        <w:rPr>
          <w:sz w:val="22"/>
          <w:szCs w:val="22"/>
        </w:rPr>
      </w:pPr>
    </w:p>
    <w:p w14:paraId="1CDD9703" w14:textId="650D902A" w:rsidR="00123056" w:rsidRPr="00D62D27" w:rsidRDefault="00123056" w:rsidP="00123056">
      <w:pPr>
        <w:pStyle w:val="NoSpacing"/>
        <w:rPr>
          <w:sz w:val="22"/>
          <w:szCs w:val="22"/>
          <w:u w:val="single"/>
        </w:rPr>
      </w:pPr>
      <w:r w:rsidRPr="00D62D27">
        <w:rPr>
          <w:sz w:val="22"/>
          <w:szCs w:val="22"/>
          <w:u w:val="single"/>
        </w:rPr>
        <w:t>Added explanation:</w:t>
      </w:r>
    </w:p>
    <w:p w14:paraId="61455002" w14:textId="16B4EE80" w:rsidR="00123056" w:rsidRPr="00D62D27" w:rsidRDefault="00123056" w:rsidP="00D62D27">
      <w:pPr>
        <w:pStyle w:val="NoSpacing"/>
        <w:numPr>
          <w:ilvl w:val="0"/>
          <w:numId w:val="15"/>
        </w:numPr>
        <w:rPr>
          <w:sz w:val="22"/>
          <w:szCs w:val="22"/>
        </w:rPr>
      </w:pPr>
      <w:r w:rsidRPr="00D62D27">
        <w:rPr>
          <w:sz w:val="22"/>
          <w:szCs w:val="22"/>
        </w:rPr>
        <w:t xml:space="preserve">Even though BDNF is a growth factor for neurons, it has no known oncogenic activity for skin or blood cells that might be the target of a potential needle stick. Hence, this insert would not automatically trigger a requirement for increased biocontainment. </w:t>
      </w:r>
    </w:p>
    <w:p w14:paraId="0405B5ED" w14:textId="4EE763F0" w:rsidR="00123056" w:rsidRPr="00D62D27" w:rsidRDefault="00123056" w:rsidP="00D62D27">
      <w:pPr>
        <w:pStyle w:val="NoSpacing"/>
        <w:numPr>
          <w:ilvl w:val="0"/>
          <w:numId w:val="15"/>
        </w:numPr>
        <w:rPr>
          <w:sz w:val="22"/>
          <w:szCs w:val="22"/>
        </w:rPr>
      </w:pPr>
      <w:r w:rsidRPr="00D62D27">
        <w:rPr>
          <w:sz w:val="22"/>
          <w:szCs w:val="22"/>
        </w:rPr>
        <w:t xml:space="preserve">Stereotactic injection frames cannot easily be placed into a laminar flow </w:t>
      </w:r>
      <w:r w:rsidR="00D62D27" w:rsidRPr="00D62D27">
        <w:rPr>
          <w:sz w:val="22"/>
          <w:szCs w:val="22"/>
        </w:rPr>
        <w:t>hood and</w:t>
      </w:r>
      <w:r w:rsidRPr="00D62D27">
        <w:rPr>
          <w:sz w:val="22"/>
          <w:szCs w:val="22"/>
        </w:rPr>
        <w:t xml:space="preserve"> may use a syringe or pulled glass pipette for inoculation; they may also use a pump to ensure a slow rate of delivery of the agent. BL-2 containment does NOT require the use of a biosafety </w:t>
      </w:r>
      <w:r w:rsidR="00D62D27" w:rsidRPr="00D62D27">
        <w:rPr>
          <w:sz w:val="22"/>
          <w:szCs w:val="22"/>
        </w:rPr>
        <w:t>cabinet and</w:t>
      </w:r>
      <w:r w:rsidRPr="00D62D27">
        <w:rPr>
          <w:sz w:val="22"/>
          <w:szCs w:val="22"/>
        </w:rPr>
        <w:t xml:space="preserve"> is therefore compatible with the use of a stereotactic frame, even if that frame is not contained within a laminar flow cabinet. </w:t>
      </w:r>
    </w:p>
    <w:p w14:paraId="4848F2BB" w14:textId="77777777" w:rsidR="00D62D27" w:rsidRDefault="00D62D27" w:rsidP="00123056">
      <w:pPr>
        <w:pStyle w:val="NoSpacing"/>
        <w:rPr>
          <w:sz w:val="22"/>
          <w:szCs w:val="22"/>
        </w:rPr>
      </w:pPr>
    </w:p>
    <w:p w14:paraId="6A20F713" w14:textId="102A77F7" w:rsidR="00123056" w:rsidRPr="00D62D27" w:rsidRDefault="00123056" w:rsidP="00123056">
      <w:pPr>
        <w:pStyle w:val="NoSpacing"/>
        <w:rPr>
          <w:sz w:val="22"/>
          <w:szCs w:val="22"/>
          <w:u w:val="single"/>
        </w:rPr>
      </w:pPr>
      <w:r w:rsidRPr="00D62D27">
        <w:rPr>
          <w:sz w:val="22"/>
          <w:szCs w:val="22"/>
          <w:u w:val="single"/>
        </w:rPr>
        <w:t xml:space="preserve">Additional points to consider: </w:t>
      </w:r>
    </w:p>
    <w:p w14:paraId="3868F97B" w14:textId="75CE19FB" w:rsidR="00123056" w:rsidRPr="00D62D27" w:rsidRDefault="00123056" w:rsidP="00D62D27">
      <w:pPr>
        <w:pStyle w:val="NoSpacing"/>
        <w:numPr>
          <w:ilvl w:val="0"/>
          <w:numId w:val="16"/>
        </w:numPr>
        <w:rPr>
          <w:sz w:val="22"/>
          <w:szCs w:val="22"/>
        </w:rPr>
      </w:pPr>
      <w:r w:rsidRPr="00D62D27">
        <w:rPr>
          <w:sz w:val="22"/>
          <w:szCs w:val="22"/>
        </w:rPr>
        <w:t xml:space="preserve">An in-person consultation between biosafety staff and lab personnel prior to </w:t>
      </w:r>
      <w:proofErr w:type="gramStart"/>
      <w:r w:rsidRPr="00D62D27">
        <w:rPr>
          <w:sz w:val="22"/>
          <w:szCs w:val="22"/>
        </w:rPr>
        <w:t>initiation</w:t>
      </w:r>
      <w:proofErr w:type="gramEnd"/>
      <w:r w:rsidRPr="00D62D27">
        <w:rPr>
          <w:sz w:val="22"/>
          <w:szCs w:val="22"/>
        </w:rPr>
        <w:t xml:space="preserve"> of experiments may be a useful stipulation </w:t>
      </w:r>
    </w:p>
    <w:p w14:paraId="41324414" w14:textId="36464ABC" w:rsidR="00123056" w:rsidRDefault="00123056" w:rsidP="00D62D27">
      <w:pPr>
        <w:pStyle w:val="NoSpacing"/>
        <w:numPr>
          <w:ilvl w:val="0"/>
          <w:numId w:val="16"/>
        </w:numPr>
        <w:rPr>
          <w:sz w:val="22"/>
          <w:szCs w:val="22"/>
        </w:rPr>
      </w:pPr>
      <w:r w:rsidRPr="00D62D27">
        <w:rPr>
          <w:sz w:val="22"/>
          <w:szCs w:val="22"/>
        </w:rPr>
        <w:t xml:space="preserve">One might also impose additional biosafety enhancements during the injection process, perhaps by requiring use of additional PPE above and beyond the stipulated requirements associated with BL2/BL2-N. </w:t>
      </w:r>
      <w:proofErr w:type="gramStart"/>
      <w:r w:rsidRPr="00D62D27">
        <w:rPr>
          <w:sz w:val="22"/>
          <w:szCs w:val="22"/>
        </w:rPr>
        <w:t>See Example</w:t>
      </w:r>
      <w:proofErr w:type="gramEnd"/>
      <w:r w:rsidRPr="00D62D27">
        <w:rPr>
          <w:sz w:val="22"/>
          <w:szCs w:val="22"/>
        </w:rPr>
        <w:t xml:space="preserve"> 2 for examples of such stipulations.</w:t>
      </w:r>
    </w:p>
    <w:p w14:paraId="18531E5D" w14:textId="77777777" w:rsidR="00D62D27" w:rsidRDefault="00D62D27" w:rsidP="00D62D27">
      <w:pPr>
        <w:pStyle w:val="NoSpacing"/>
        <w:rPr>
          <w:sz w:val="22"/>
          <w:szCs w:val="22"/>
        </w:rPr>
      </w:pPr>
    </w:p>
    <w:p w14:paraId="43E81846" w14:textId="77777777" w:rsidR="00D62D27" w:rsidRDefault="00D62D27" w:rsidP="00D62D27">
      <w:pPr>
        <w:pStyle w:val="NoSpacing"/>
        <w:rPr>
          <w:sz w:val="22"/>
          <w:szCs w:val="22"/>
        </w:rPr>
      </w:pPr>
    </w:p>
    <w:p w14:paraId="7D4BF1C7" w14:textId="77777777" w:rsidR="00D62D27" w:rsidRDefault="00D62D27" w:rsidP="00D62D27">
      <w:pPr>
        <w:pStyle w:val="NoSpacing"/>
        <w:rPr>
          <w:sz w:val="22"/>
          <w:szCs w:val="22"/>
        </w:rPr>
      </w:pPr>
    </w:p>
    <w:p w14:paraId="13C68FB7" w14:textId="4384102F" w:rsidR="00D62D27" w:rsidRDefault="00D62D27">
      <w:pPr>
        <w:rPr>
          <w:sz w:val="22"/>
          <w:szCs w:val="22"/>
        </w:rPr>
      </w:pPr>
      <w:r>
        <w:rPr>
          <w:sz w:val="22"/>
          <w:szCs w:val="22"/>
        </w:rPr>
        <w:br w:type="page"/>
      </w:r>
    </w:p>
    <w:p w14:paraId="19EEB501" w14:textId="77777777" w:rsidR="00D62D27" w:rsidRPr="00D62D27" w:rsidRDefault="00D62D27" w:rsidP="00D62D27">
      <w:pPr>
        <w:pStyle w:val="NoSpacing"/>
        <w:rPr>
          <w:b/>
          <w:bCs/>
          <w:sz w:val="28"/>
          <w:szCs w:val="28"/>
        </w:rPr>
      </w:pPr>
      <w:r w:rsidRPr="00D62D27">
        <w:rPr>
          <w:b/>
          <w:bCs/>
          <w:sz w:val="28"/>
          <w:szCs w:val="28"/>
        </w:rPr>
        <w:lastRenderedPageBreak/>
        <w:t xml:space="preserve">APPENDIX </w:t>
      </w:r>
    </w:p>
    <w:p w14:paraId="53EAA7EF" w14:textId="4F2F5025" w:rsidR="00D62D27" w:rsidRDefault="00D62D27" w:rsidP="00D62D27">
      <w:pPr>
        <w:pStyle w:val="NoSpacing"/>
        <w:rPr>
          <w:sz w:val="22"/>
          <w:szCs w:val="22"/>
        </w:rPr>
      </w:pPr>
      <w:r>
        <w:rPr>
          <w:noProof/>
          <w:sz w:val="22"/>
          <w:szCs w:val="22"/>
        </w:rPr>
        <mc:AlternateContent>
          <mc:Choice Requires="wps">
            <w:drawing>
              <wp:anchor distT="0" distB="0" distL="114300" distR="114300" simplePos="0" relativeHeight="251660288" behindDoc="0" locked="0" layoutInCell="1" allowOverlap="1" wp14:anchorId="6522841D" wp14:editId="0E43420C">
                <wp:simplePos x="0" y="0"/>
                <wp:positionH relativeFrom="column">
                  <wp:posOffset>-36195</wp:posOffset>
                </wp:positionH>
                <wp:positionV relativeFrom="paragraph">
                  <wp:posOffset>165735</wp:posOffset>
                </wp:positionV>
                <wp:extent cx="6315075" cy="238125"/>
                <wp:effectExtent l="0" t="0" r="28575" b="28575"/>
                <wp:wrapNone/>
                <wp:docPr id="51519941" name="Text Box 2"/>
                <wp:cNvGraphicFramePr/>
                <a:graphic xmlns:a="http://schemas.openxmlformats.org/drawingml/2006/main">
                  <a:graphicData uri="http://schemas.microsoft.com/office/word/2010/wordprocessingShape">
                    <wps:wsp>
                      <wps:cNvSpPr txBox="1"/>
                      <wps:spPr>
                        <a:xfrm>
                          <a:off x="0" y="0"/>
                          <a:ext cx="6315075" cy="238125"/>
                        </a:xfrm>
                        <a:prstGeom prst="rect">
                          <a:avLst/>
                        </a:prstGeom>
                        <a:solidFill>
                          <a:schemeClr val="lt1"/>
                        </a:solidFill>
                        <a:ln w="6350">
                          <a:solidFill>
                            <a:prstClr val="black"/>
                          </a:solidFill>
                        </a:ln>
                      </wps:spPr>
                      <wps:txbx>
                        <w:txbxContent>
                          <w:p w14:paraId="3C0F7969" w14:textId="4E0E61E7" w:rsidR="00D62D27" w:rsidRPr="00D62D27" w:rsidRDefault="00D62D27">
                            <w:pPr>
                              <w:rPr>
                                <w:b/>
                                <w:bCs/>
                              </w:rPr>
                            </w:pPr>
                            <w:r w:rsidRPr="00D62D27">
                              <w:rPr>
                                <w:b/>
                                <w:bCs/>
                              </w:rPr>
                              <w:t>Sections from the NIH 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22841D" id="_x0000_t202" coordsize="21600,21600" o:spt="202" path="m,l,21600r21600,l21600,xe">
                <v:stroke joinstyle="miter"/>
                <v:path gradientshapeok="t" o:connecttype="rect"/>
              </v:shapetype>
              <v:shape id="Text Box 2" o:spid="_x0000_s1026" type="#_x0000_t202" style="position:absolute;margin-left:-2.85pt;margin-top:13.05pt;width:497.25pt;height:1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" fillcolor="white [3201]" strokeweight=".5pt">
                <v:textbox>
                  <w:txbxContent>
                    <w:p w14:paraId="3C0F7969" w14:textId="4E0E61E7" w:rsidR="00D62D27" w:rsidRPr="00D62D27" w:rsidRDefault="00D62D27">
                      <w:pPr>
                        <w:rPr>
                          <w:b/>
                          <w:bCs/>
                        </w:rPr>
                      </w:pPr>
                      <w:r w:rsidRPr="00D62D27">
                        <w:rPr>
                          <w:b/>
                          <w:bCs/>
                        </w:rPr>
                        <w:t>Sections from the NIH Guidelines</w:t>
                      </w:r>
                    </w:p>
                  </w:txbxContent>
                </v:textbox>
              </v:shape>
            </w:pict>
          </mc:Fallback>
        </mc:AlternateContent>
      </w:r>
    </w:p>
    <w:p w14:paraId="75A29F68" w14:textId="24CFD352" w:rsidR="00D62D27" w:rsidRPr="00D62D27" w:rsidRDefault="00D62D27" w:rsidP="00D62D27">
      <w:pPr>
        <w:pStyle w:val="NoSpacing"/>
        <w:rPr>
          <w:b/>
          <w:bCs/>
        </w:rPr>
      </w:pPr>
      <w:r w:rsidRPr="00D62D27">
        <w:rPr>
          <w:b/>
          <w:bCs/>
        </w:rPr>
        <w:t>Sections from the NIH Guidelines</w:t>
      </w:r>
    </w:p>
    <w:p w14:paraId="728BFEE7" w14:textId="77777777" w:rsidR="00D62D27" w:rsidRDefault="00D62D27" w:rsidP="00D62D27">
      <w:pPr>
        <w:pStyle w:val="NoSpacing"/>
        <w:rPr>
          <w:sz w:val="22"/>
          <w:szCs w:val="22"/>
        </w:rPr>
      </w:pPr>
    </w:p>
    <w:p w14:paraId="7ACA53E3" w14:textId="2AFA6FAA" w:rsidR="00D62D27" w:rsidRPr="00D62D27" w:rsidRDefault="00D62D27" w:rsidP="00D62D27">
      <w:pPr>
        <w:pStyle w:val="NoSpacing"/>
        <w:rPr>
          <w:sz w:val="22"/>
          <w:szCs w:val="22"/>
        </w:rPr>
      </w:pPr>
      <w:r>
        <w:rPr>
          <w:noProof/>
          <w:sz w:val="22"/>
          <w:szCs w:val="22"/>
        </w:rPr>
        <mc:AlternateContent>
          <mc:Choice Requires="wps">
            <w:drawing>
              <wp:anchor distT="0" distB="0" distL="114300" distR="114300" simplePos="0" relativeHeight="251661312" behindDoc="0" locked="0" layoutInCell="1" allowOverlap="1" wp14:anchorId="649A8DB8" wp14:editId="0AA924F5">
                <wp:simplePos x="0" y="0"/>
                <wp:positionH relativeFrom="column">
                  <wp:posOffset>-36195</wp:posOffset>
                </wp:positionH>
                <wp:positionV relativeFrom="paragraph">
                  <wp:posOffset>29210</wp:posOffset>
                </wp:positionV>
                <wp:extent cx="6315075" cy="304800"/>
                <wp:effectExtent l="0" t="0" r="9525" b="0"/>
                <wp:wrapNone/>
                <wp:docPr id="947998495" name="Text Box 3"/>
                <wp:cNvGraphicFramePr/>
                <a:graphic xmlns:a="http://schemas.openxmlformats.org/drawingml/2006/main">
                  <a:graphicData uri="http://schemas.microsoft.com/office/word/2010/wordprocessingShape">
                    <wps:wsp>
                      <wps:cNvSpPr txBox="1"/>
                      <wps:spPr>
                        <a:xfrm>
                          <a:off x="0" y="0"/>
                          <a:ext cx="6315075" cy="304800"/>
                        </a:xfrm>
                        <a:prstGeom prst="rect">
                          <a:avLst/>
                        </a:prstGeom>
                        <a:solidFill>
                          <a:schemeClr val="lt1"/>
                        </a:solidFill>
                        <a:ln w="6350">
                          <a:noFill/>
                        </a:ln>
                      </wps:spPr>
                      <wps:txbx>
                        <w:txbxContent>
                          <w:p w14:paraId="547D0145" w14:textId="0022F922" w:rsidR="00D62D27" w:rsidRPr="00D62D27" w:rsidRDefault="00D62D27" w:rsidP="00D62D27">
                            <w:pPr>
                              <w:shd w:val="clear" w:color="auto" w:fill="D9D9D9" w:themeFill="background1" w:themeFillShade="D9"/>
                              <w:rPr>
                                <w:b/>
                                <w:bCs/>
                              </w:rPr>
                            </w:pPr>
                            <w:r w:rsidRPr="00D62D27">
                              <w:rPr>
                                <w:b/>
                                <w:bCs/>
                              </w:rPr>
                              <w:t>General Considerations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A8DB8" id="Text Box 3" o:spid="_x0000_s1027" type="#_x0000_t202" style="position:absolute;margin-left:-2.85pt;margin-top:2.3pt;width:497.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" fillcolor="white [3201]" stroked="f" strokeweight=".5pt">
                <v:textbox>
                  <w:txbxContent>
                    <w:p w14:paraId="547D0145" w14:textId="0022F922" w:rsidR="00D62D27" w:rsidRPr="00D62D27" w:rsidRDefault="00D62D27" w:rsidP="00D62D27">
                      <w:pPr>
                        <w:shd w:val="clear" w:color="auto" w:fill="D9D9D9" w:themeFill="background1" w:themeFillShade="D9"/>
                        <w:rPr>
                          <w:b/>
                          <w:bCs/>
                        </w:rPr>
                      </w:pPr>
                      <w:r w:rsidRPr="00D62D27">
                        <w:rPr>
                          <w:b/>
                          <w:bCs/>
                        </w:rPr>
                        <w:t>General Considerations</w:t>
                      </w:r>
                    </w:p>
                  </w:txbxContent>
                </v:textbox>
              </v:shape>
            </w:pict>
          </mc:Fallback>
        </mc:AlternateContent>
      </w:r>
      <w:r w:rsidRPr="00D62D27">
        <w:rPr>
          <w:sz w:val="22"/>
          <w:szCs w:val="22"/>
        </w:rPr>
        <w:t xml:space="preserve">General Considerations </w:t>
      </w:r>
    </w:p>
    <w:p w14:paraId="5A4ABF1C" w14:textId="77777777" w:rsidR="00D62D27" w:rsidRDefault="00D62D27" w:rsidP="00D62D27">
      <w:pPr>
        <w:pStyle w:val="NoSpacing"/>
        <w:rPr>
          <w:sz w:val="22"/>
          <w:szCs w:val="22"/>
        </w:rPr>
      </w:pPr>
    </w:p>
    <w:p w14:paraId="3F011617" w14:textId="7FBEEB03" w:rsidR="00D62D27" w:rsidRPr="00D62D27" w:rsidRDefault="00D62D27" w:rsidP="00D62D27">
      <w:pPr>
        <w:pStyle w:val="NoSpacing"/>
        <w:rPr>
          <w:b/>
          <w:bCs/>
          <w:sz w:val="22"/>
          <w:szCs w:val="22"/>
        </w:rPr>
      </w:pPr>
      <w:r w:rsidRPr="00D62D27">
        <w:rPr>
          <w:b/>
          <w:bCs/>
          <w:sz w:val="22"/>
          <w:szCs w:val="22"/>
        </w:rPr>
        <w:t xml:space="preserve">Section II-A. Risk Assessment </w:t>
      </w:r>
    </w:p>
    <w:p w14:paraId="27B9361E" w14:textId="77777777" w:rsidR="00D62D27" w:rsidRPr="00D62D27" w:rsidRDefault="00D62D27" w:rsidP="00D62D27">
      <w:pPr>
        <w:pStyle w:val="NoSpacing"/>
        <w:rPr>
          <w:sz w:val="22"/>
          <w:szCs w:val="22"/>
        </w:rPr>
      </w:pPr>
      <w:r w:rsidRPr="00D62D27">
        <w:rPr>
          <w:b/>
          <w:bCs/>
          <w:sz w:val="22"/>
          <w:szCs w:val="22"/>
        </w:rPr>
        <w:t>Section II-A-3. Comprehensive Risk Assessment.</w:t>
      </w:r>
      <w:r w:rsidRPr="00D62D27">
        <w:rPr>
          <w:sz w:val="22"/>
          <w:szCs w:val="22"/>
        </w:rPr>
        <w:t xml:space="preserve"> BL2 containment is recommended for activities </w:t>
      </w:r>
    </w:p>
    <w:p w14:paraId="075DD480" w14:textId="77777777" w:rsidR="00D62D27" w:rsidRPr="00D62D27" w:rsidRDefault="00D62D27" w:rsidP="00D62D27">
      <w:pPr>
        <w:pStyle w:val="NoSpacing"/>
        <w:rPr>
          <w:sz w:val="22"/>
          <w:szCs w:val="22"/>
        </w:rPr>
      </w:pPr>
      <w:r w:rsidRPr="00D62D27">
        <w:rPr>
          <w:sz w:val="22"/>
          <w:szCs w:val="22"/>
        </w:rPr>
        <w:t xml:space="preserve">involving all blood-contaminated clinical specimens, body fluids, and tissues from all humans, or from </w:t>
      </w:r>
    </w:p>
    <w:p w14:paraId="6A14C83C" w14:textId="1C1F5647" w:rsidR="00D62D27" w:rsidRPr="00D62D27" w:rsidRDefault="00D62D27" w:rsidP="00D62D27">
      <w:pPr>
        <w:pStyle w:val="NoSpacing"/>
        <w:rPr>
          <w:sz w:val="22"/>
          <w:szCs w:val="22"/>
        </w:rPr>
      </w:pPr>
      <w:r w:rsidRPr="00D62D27">
        <w:rPr>
          <w:sz w:val="22"/>
          <w:szCs w:val="22"/>
        </w:rPr>
        <w:t xml:space="preserve">HIV – or HBV-infected or inoculated laboratory animals. Activities such as the production of </w:t>
      </w:r>
      <w:r>
        <w:rPr>
          <w:sz w:val="22"/>
          <w:szCs w:val="22"/>
        </w:rPr>
        <w:t>r</w:t>
      </w:r>
      <w:r w:rsidRPr="00D62D27">
        <w:rPr>
          <w:sz w:val="22"/>
          <w:szCs w:val="22"/>
        </w:rPr>
        <w:t>esearch</w:t>
      </w:r>
      <w:r>
        <w:rPr>
          <w:sz w:val="22"/>
          <w:szCs w:val="22"/>
        </w:rPr>
        <w:t xml:space="preserve"> </w:t>
      </w:r>
      <w:r w:rsidRPr="00D62D27">
        <w:rPr>
          <w:sz w:val="22"/>
          <w:szCs w:val="22"/>
        </w:rPr>
        <w:t xml:space="preserve">laboratory scale quantities of HIV or other bloodborne pathogens, manipulating concentrated </w:t>
      </w:r>
    </w:p>
    <w:p w14:paraId="3A5288A1" w14:textId="77777777" w:rsidR="00D62D27" w:rsidRPr="00D62D27" w:rsidRDefault="00D62D27" w:rsidP="00D62D27">
      <w:pPr>
        <w:pStyle w:val="NoSpacing"/>
        <w:rPr>
          <w:sz w:val="22"/>
          <w:szCs w:val="22"/>
        </w:rPr>
      </w:pPr>
      <w:r w:rsidRPr="00D62D27">
        <w:rPr>
          <w:sz w:val="22"/>
          <w:szCs w:val="22"/>
        </w:rPr>
        <w:t xml:space="preserve">virus preparations, or conducting procedures that may produce droplets or aerosols, are performed in </w:t>
      </w:r>
    </w:p>
    <w:p w14:paraId="0B50525F" w14:textId="77777777" w:rsidR="00D62D27" w:rsidRPr="00D62D27" w:rsidRDefault="00D62D27" w:rsidP="00D62D27">
      <w:pPr>
        <w:pStyle w:val="NoSpacing"/>
        <w:rPr>
          <w:sz w:val="22"/>
          <w:szCs w:val="22"/>
        </w:rPr>
      </w:pPr>
      <w:r w:rsidRPr="00D62D27">
        <w:rPr>
          <w:sz w:val="22"/>
          <w:szCs w:val="22"/>
        </w:rPr>
        <w:t xml:space="preserve">a BL2 facility using the additional practices and containment equipment recommended for BL3. </w:t>
      </w:r>
    </w:p>
    <w:p w14:paraId="2374BDBC" w14:textId="77777777" w:rsidR="00D62D27" w:rsidRPr="00D62D27" w:rsidRDefault="00D62D27" w:rsidP="00D62D27">
      <w:pPr>
        <w:pStyle w:val="NoSpacing"/>
        <w:rPr>
          <w:sz w:val="22"/>
          <w:szCs w:val="22"/>
        </w:rPr>
      </w:pPr>
      <w:r w:rsidRPr="00D62D27">
        <w:rPr>
          <w:sz w:val="22"/>
          <w:szCs w:val="22"/>
        </w:rPr>
        <w:t xml:space="preserve">Activities involving industrial scale volumes or preparations of concentrated HIV are conducted in a </w:t>
      </w:r>
    </w:p>
    <w:p w14:paraId="509FAA1D" w14:textId="77777777" w:rsidR="00D62D27" w:rsidRPr="00D62D27" w:rsidRDefault="00D62D27" w:rsidP="00D62D27">
      <w:pPr>
        <w:pStyle w:val="NoSpacing"/>
        <w:rPr>
          <w:sz w:val="22"/>
          <w:szCs w:val="22"/>
        </w:rPr>
      </w:pPr>
      <w:r w:rsidRPr="00D62D27">
        <w:rPr>
          <w:sz w:val="22"/>
          <w:szCs w:val="22"/>
        </w:rPr>
        <w:t xml:space="preserve">BL3 facility, or BL3 Large Scale if appropriate, using BL3 practices and containment equipment. </w:t>
      </w:r>
    </w:p>
    <w:p w14:paraId="184E0C0E" w14:textId="77777777" w:rsidR="00D62D27" w:rsidRPr="00D62D27" w:rsidRDefault="00D62D27" w:rsidP="00D62D27">
      <w:pPr>
        <w:pStyle w:val="NoSpacing"/>
        <w:rPr>
          <w:sz w:val="22"/>
          <w:szCs w:val="22"/>
        </w:rPr>
      </w:pPr>
      <w:r w:rsidRPr="00D62D27">
        <w:rPr>
          <w:sz w:val="22"/>
          <w:szCs w:val="22"/>
        </w:rPr>
        <w:t xml:space="preserve">Appendix </w:t>
      </w:r>
    </w:p>
    <w:p w14:paraId="4DAAC62C" w14:textId="77777777" w:rsidR="00D62D27" w:rsidRDefault="00D62D27" w:rsidP="00D62D27">
      <w:pPr>
        <w:pStyle w:val="NoSpacing"/>
        <w:rPr>
          <w:sz w:val="22"/>
          <w:szCs w:val="22"/>
        </w:rPr>
      </w:pPr>
    </w:p>
    <w:p w14:paraId="05312FAF" w14:textId="793DA9DF" w:rsidR="00D62D27" w:rsidRPr="00D62D27" w:rsidRDefault="00D62D27" w:rsidP="00D62D27">
      <w:pPr>
        <w:pStyle w:val="NoSpacing"/>
        <w:rPr>
          <w:b/>
          <w:bCs/>
          <w:sz w:val="22"/>
          <w:szCs w:val="22"/>
        </w:rPr>
      </w:pPr>
      <w:r w:rsidRPr="00D62D27">
        <w:rPr>
          <w:b/>
          <w:bCs/>
          <w:sz w:val="22"/>
          <w:szCs w:val="22"/>
        </w:rPr>
        <w:t xml:space="preserve">Section III-D. Experiments That Require Institutional Biosafety Committee Approval Before </w:t>
      </w:r>
    </w:p>
    <w:p w14:paraId="4AFF01B3" w14:textId="77777777" w:rsidR="00D62D27" w:rsidRPr="00D62D27" w:rsidRDefault="00D62D27" w:rsidP="00D62D27">
      <w:pPr>
        <w:pStyle w:val="NoSpacing"/>
        <w:rPr>
          <w:b/>
          <w:bCs/>
          <w:sz w:val="22"/>
          <w:szCs w:val="22"/>
        </w:rPr>
      </w:pPr>
      <w:r w:rsidRPr="00D62D27">
        <w:rPr>
          <w:b/>
          <w:bCs/>
          <w:sz w:val="22"/>
          <w:szCs w:val="22"/>
        </w:rPr>
        <w:t xml:space="preserve">Initiation </w:t>
      </w:r>
    </w:p>
    <w:p w14:paraId="33F1018D" w14:textId="77777777" w:rsidR="00D62D27" w:rsidRPr="00D62D27" w:rsidRDefault="00D62D27" w:rsidP="00D62D27">
      <w:pPr>
        <w:pStyle w:val="NoSpacing"/>
        <w:rPr>
          <w:b/>
          <w:bCs/>
          <w:sz w:val="22"/>
          <w:szCs w:val="22"/>
        </w:rPr>
      </w:pPr>
      <w:r w:rsidRPr="00D62D27">
        <w:rPr>
          <w:b/>
          <w:bCs/>
          <w:sz w:val="22"/>
          <w:szCs w:val="22"/>
        </w:rPr>
        <w:t xml:space="preserve">Section III-D-3. Experiments Involving the Use of Infectious DNA or RNA Viruses or Defective </w:t>
      </w:r>
    </w:p>
    <w:p w14:paraId="3FD549AD" w14:textId="77777777" w:rsidR="00D62D27" w:rsidRPr="00D62D27" w:rsidRDefault="00D62D27" w:rsidP="00D62D27">
      <w:pPr>
        <w:pStyle w:val="NoSpacing"/>
        <w:rPr>
          <w:sz w:val="22"/>
          <w:szCs w:val="22"/>
        </w:rPr>
      </w:pPr>
      <w:r w:rsidRPr="00D62D27">
        <w:rPr>
          <w:b/>
          <w:bCs/>
          <w:sz w:val="22"/>
          <w:szCs w:val="22"/>
        </w:rPr>
        <w:t>DNA or RNA Viruses in the Presence of Helper Virus in Tissue Culture Systems.</w:t>
      </w:r>
      <w:r w:rsidRPr="00D62D27">
        <w:rPr>
          <w:sz w:val="22"/>
          <w:szCs w:val="22"/>
        </w:rPr>
        <w:t xml:space="preserve"> Recombinant </w:t>
      </w:r>
    </w:p>
    <w:p w14:paraId="74784850" w14:textId="77777777" w:rsidR="00D62D27" w:rsidRPr="00D62D27" w:rsidRDefault="00D62D27" w:rsidP="00D62D27">
      <w:pPr>
        <w:pStyle w:val="NoSpacing"/>
        <w:rPr>
          <w:sz w:val="22"/>
          <w:szCs w:val="22"/>
        </w:rPr>
      </w:pPr>
      <w:r w:rsidRPr="00D62D27">
        <w:rPr>
          <w:sz w:val="22"/>
          <w:szCs w:val="22"/>
        </w:rPr>
        <w:t xml:space="preserve">DNA or RNA molecules derived therefrom, which contain less than two-thirds of the genome of any </w:t>
      </w:r>
    </w:p>
    <w:p w14:paraId="457B166E" w14:textId="77777777" w:rsidR="00D62D27" w:rsidRPr="00D62D27" w:rsidRDefault="00D62D27" w:rsidP="00D62D27">
      <w:pPr>
        <w:pStyle w:val="NoSpacing"/>
        <w:rPr>
          <w:sz w:val="22"/>
          <w:szCs w:val="22"/>
        </w:rPr>
      </w:pPr>
      <w:r w:rsidRPr="00D62D27">
        <w:rPr>
          <w:sz w:val="22"/>
          <w:szCs w:val="22"/>
        </w:rPr>
        <w:t xml:space="preserve">eukaryotic virus (all viruses from a single Family (see Section V-J, Footnotes and References of </w:t>
      </w:r>
    </w:p>
    <w:p w14:paraId="1E184D0F" w14:textId="77777777" w:rsidR="00D62D27" w:rsidRPr="00D62D27" w:rsidRDefault="00D62D27" w:rsidP="00D62D27">
      <w:pPr>
        <w:pStyle w:val="NoSpacing"/>
        <w:rPr>
          <w:sz w:val="22"/>
          <w:szCs w:val="22"/>
        </w:rPr>
      </w:pPr>
      <w:r w:rsidRPr="00D62D27">
        <w:rPr>
          <w:sz w:val="22"/>
          <w:szCs w:val="22"/>
        </w:rPr>
        <w:t xml:space="preserve">Sections I-IV) being considered identical (see Section V-K, Footnotes and References of Sections </w:t>
      </w:r>
    </w:p>
    <w:p w14:paraId="2550FCC9" w14:textId="77777777" w:rsidR="00D62D27" w:rsidRPr="00D62D27" w:rsidRDefault="00D62D27" w:rsidP="00D62D27">
      <w:pPr>
        <w:pStyle w:val="NoSpacing"/>
        <w:rPr>
          <w:sz w:val="22"/>
          <w:szCs w:val="22"/>
        </w:rPr>
      </w:pPr>
      <w:r w:rsidRPr="00D62D27">
        <w:rPr>
          <w:sz w:val="22"/>
          <w:szCs w:val="22"/>
        </w:rPr>
        <w:t xml:space="preserve">IIV), are considered defective and may be used in the absence of </w:t>
      </w:r>
      <w:proofErr w:type="gramStart"/>
      <w:r w:rsidRPr="00D62D27">
        <w:rPr>
          <w:sz w:val="22"/>
          <w:szCs w:val="22"/>
        </w:rPr>
        <w:t>helper</w:t>
      </w:r>
      <w:proofErr w:type="gramEnd"/>
      <w:r w:rsidRPr="00D62D27">
        <w:rPr>
          <w:sz w:val="22"/>
          <w:szCs w:val="22"/>
        </w:rPr>
        <w:t xml:space="preserve"> under the conditions </w:t>
      </w:r>
    </w:p>
    <w:p w14:paraId="2EFE77AC" w14:textId="77777777" w:rsidR="00D62D27" w:rsidRPr="00D62D27" w:rsidRDefault="00D62D27" w:rsidP="00D62D27">
      <w:pPr>
        <w:pStyle w:val="NoSpacing"/>
        <w:rPr>
          <w:sz w:val="22"/>
          <w:szCs w:val="22"/>
        </w:rPr>
      </w:pPr>
      <w:r w:rsidRPr="00D62D27">
        <w:rPr>
          <w:sz w:val="22"/>
          <w:szCs w:val="22"/>
        </w:rPr>
        <w:t xml:space="preserve">specified in Section III-E-1, Experiments Involving the Formation of Recombinant DNA Molecules </w:t>
      </w:r>
    </w:p>
    <w:p w14:paraId="7341D45A" w14:textId="77777777" w:rsidR="00D62D27" w:rsidRPr="00D62D27" w:rsidRDefault="00D62D27" w:rsidP="00D62D27">
      <w:pPr>
        <w:pStyle w:val="NoSpacing"/>
        <w:rPr>
          <w:sz w:val="22"/>
          <w:szCs w:val="22"/>
        </w:rPr>
      </w:pPr>
      <w:r w:rsidRPr="00D62D27">
        <w:rPr>
          <w:sz w:val="22"/>
          <w:szCs w:val="22"/>
        </w:rPr>
        <w:t xml:space="preserve">Containing No More than Two-Thirds of the Genome of any Eukaryotic Virus. </w:t>
      </w:r>
    </w:p>
    <w:p w14:paraId="1FDB1595" w14:textId="77777777" w:rsidR="00D62D27" w:rsidRDefault="00D62D27" w:rsidP="00D62D27">
      <w:pPr>
        <w:pStyle w:val="NoSpacing"/>
        <w:rPr>
          <w:sz w:val="22"/>
          <w:szCs w:val="22"/>
        </w:rPr>
      </w:pPr>
    </w:p>
    <w:p w14:paraId="3F7C7CDA" w14:textId="2B81710F" w:rsidR="00D62D27" w:rsidRPr="00D62D27" w:rsidRDefault="00D62D27" w:rsidP="00D62D27">
      <w:pPr>
        <w:pStyle w:val="NoSpacing"/>
        <w:rPr>
          <w:b/>
          <w:bCs/>
          <w:sz w:val="22"/>
          <w:szCs w:val="22"/>
        </w:rPr>
      </w:pPr>
      <w:r w:rsidRPr="00D62D27">
        <w:rPr>
          <w:b/>
          <w:bCs/>
          <w:sz w:val="22"/>
          <w:szCs w:val="22"/>
        </w:rPr>
        <w:t xml:space="preserve">Section III-E. Experiments That Require Institutional Biosafety Committee Notice Simultaneous </w:t>
      </w:r>
    </w:p>
    <w:p w14:paraId="25CE9049" w14:textId="77777777" w:rsidR="00D62D27" w:rsidRPr="00D62D27" w:rsidRDefault="00D62D27" w:rsidP="00D62D27">
      <w:pPr>
        <w:pStyle w:val="NoSpacing"/>
        <w:rPr>
          <w:b/>
          <w:bCs/>
          <w:sz w:val="22"/>
          <w:szCs w:val="22"/>
        </w:rPr>
      </w:pPr>
      <w:proofErr w:type="gramStart"/>
      <w:r w:rsidRPr="00D62D27">
        <w:rPr>
          <w:b/>
          <w:bCs/>
          <w:sz w:val="22"/>
          <w:szCs w:val="22"/>
        </w:rPr>
        <w:t>with</w:t>
      </w:r>
      <w:proofErr w:type="gramEnd"/>
      <w:r w:rsidRPr="00D62D27">
        <w:rPr>
          <w:b/>
          <w:bCs/>
          <w:sz w:val="22"/>
          <w:szCs w:val="22"/>
        </w:rPr>
        <w:t xml:space="preserve"> Initiation </w:t>
      </w:r>
    </w:p>
    <w:p w14:paraId="0082193D" w14:textId="77777777" w:rsidR="00D62D27" w:rsidRPr="00D62D27" w:rsidRDefault="00D62D27" w:rsidP="00D62D27">
      <w:pPr>
        <w:pStyle w:val="NoSpacing"/>
        <w:rPr>
          <w:b/>
          <w:bCs/>
          <w:sz w:val="22"/>
          <w:szCs w:val="22"/>
        </w:rPr>
      </w:pPr>
      <w:r w:rsidRPr="00D62D27">
        <w:rPr>
          <w:b/>
          <w:bCs/>
          <w:sz w:val="22"/>
          <w:szCs w:val="22"/>
        </w:rPr>
        <w:t xml:space="preserve">Section III-E-1. Experiments Involving the Formation of Recombinant DNA Molecules </w:t>
      </w:r>
    </w:p>
    <w:p w14:paraId="1A0EEF09" w14:textId="77777777" w:rsidR="00D62D27" w:rsidRPr="00D62D27" w:rsidRDefault="00D62D27" w:rsidP="00D62D27">
      <w:pPr>
        <w:pStyle w:val="NoSpacing"/>
        <w:rPr>
          <w:sz w:val="22"/>
          <w:szCs w:val="22"/>
        </w:rPr>
      </w:pPr>
      <w:r w:rsidRPr="00D62D27">
        <w:rPr>
          <w:b/>
          <w:bCs/>
          <w:sz w:val="22"/>
          <w:szCs w:val="22"/>
        </w:rPr>
        <w:t>Containing No More than Two-Thirds of the Genome of any Eukaryotic Virus.</w:t>
      </w:r>
      <w:r w:rsidRPr="00D62D27">
        <w:rPr>
          <w:sz w:val="22"/>
          <w:szCs w:val="22"/>
        </w:rPr>
        <w:t xml:space="preserve"> Recombinant DNA </w:t>
      </w:r>
    </w:p>
    <w:p w14:paraId="49F4F6C0" w14:textId="77777777" w:rsidR="00D62D27" w:rsidRPr="00D62D27" w:rsidRDefault="00D62D27" w:rsidP="00D62D27">
      <w:pPr>
        <w:pStyle w:val="NoSpacing"/>
        <w:rPr>
          <w:sz w:val="22"/>
          <w:szCs w:val="22"/>
        </w:rPr>
      </w:pPr>
      <w:r w:rsidRPr="00D62D27">
        <w:rPr>
          <w:sz w:val="22"/>
          <w:szCs w:val="22"/>
        </w:rPr>
        <w:t xml:space="preserve">molecules containing no more than two-thirds of the genome of any eukaryotic virus (all viruses from </w:t>
      </w:r>
    </w:p>
    <w:p w14:paraId="55AAF7DB" w14:textId="77777777" w:rsidR="00D62D27" w:rsidRPr="00D62D27" w:rsidRDefault="00D62D27" w:rsidP="00D62D27">
      <w:pPr>
        <w:pStyle w:val="NoSpacing"/>
        <w:rPr>
          <w:sz w:val="22"/>
          <w:szCs w:val="22"/>
        </w:rPr>
      </w:pPr>
      <w:r w:rsidRPr="00D62D27">
        <w:rPr>
          <w:sz w:val="22"/>
          <w:szCs w:val="22"/>
        </w:rPr>
        <w:t xml:space="preserve">a single Family being considered identical [see Section V-J, Footnotes and References of Sections </w:t>
      </w:r>
    </w:p>
    <w:p w14:paraId="1AF37576" w14:textId="77777777" w:rsidR="00D62D27" w:rsidRPr="00D62D27" w:rsidRDefault="00D62D27" w:rsidP="00D62D27">
      <w:pPr>
        <w:pStyle w:val="NoSpacing"/>
        <w:rPr>
          <w:sz w:val="22"/>
          <w:szCs w:val="22"/>
        </w:rPr>
      </w:pPr>
      <w:r w:rsidRPr="00D62D27">
        <w:rPr>
          <w:sz w:val="22"/>
          <w:szCs w:val="22"/>
        </w:rPr>
        <w:t xml:space="preserve">IIV]) may be propagated and maintained in cells in tissue culture using BL1 containment. For such </w:t>
      </w:r>
    </w:p>
    <w:p w14:paraId="08EDEEBC" w14:textId="77777777" w:rsidR="00D62D27" w:rsidRPr="00D62D27" w:rsidRDefault="00D62D27" w:rsidP="00D62D27">
      <w:pPr>
        <w:pStyle w:val="NoSpacing"/>
        <w:rPr>
          <w:sz w:val="22"/>
          <w:szCs w:val="22"/>
        </w:rPr>
      </w:pPr>
      <w:r w:rsidRPr="00D62D27">
        <w:rPr>
          <w:sz w:val="22"/>
          <w:szCs w:val="22"/>
        </w:rPr>
        <w:t xml:space="preserve">experiments, it must be demonstrated that the cells lack helper virus for the specific Families of </w:t>
      </w:r>
    </w:p>
    <w:p w14:paraId="2AEC64FC" w14:textId="77777777" w:rsidR="00D62D27" w:rsidRPr="00D62D27" w:rsidRDefault="00D62D27" w:rsidP="00D62D27">
      <w:pPr>
        <w:pStyle w:val="NoSpacing"/>
        <w:rPr>
          <w:sz w:val="22"/>
          <w:szCs w:val="22"/>
        </w:rPr>
      </w:pPr>
      <w:r w:rsidRPr="00D62D27">
        <w:rPr>
          <w:sz w:val="22"/>
          <w:szCs w:val="22"/>
        </w:rPr>
        <w:t>defective viruses being used. If helper virus is present, procedures specified under Section III-D-3,</w:t>
      </w:r>
    </w:p>
    <w:p w14:paraId="49EAE459" w14:textId="77777777" w:rsidR="00D62D27" w:rsidRPr="00D62D27" w:rsidRDefault="00D62D27" w:rsidP="00D62D27">
      <w:pPr>
        <w:pStyle w:val="NoSpacing"/>
        <w:rPr>
          <w:sz w:val="22"/>
          <w:szCs w:val="22"/>
        </w:rPr>
      </w:pPr>
      <w:r w:rsidRPr="00D62D27">
        <w:rPr>
          <w:sz w:val="22"/>
          <w:szCs w:val="22"/>
        </w:rPr>
        <w:t xml:space="preserve">Experiments Involving the Use of Infectious Animal or Plant DNA or RNA Viruses or Defective Animal </w:t>
      </w:r>
    </w:p>
    <w:p w14:paraId="53470B23" w14:textId="77777777" w:rsidR="00D62D27" w:rsidRPr="00D62D27" w:rsidRDefault="00D62D27" w:rsidP="00D62D27">
      <w:pPr>
        <w:pStyle w:val="NoSpacing"/>
        <w:rPr>
          <w:sz w:val="22"/>
          <w:szCs w:val="22"/>
        </w:rPr>
      </w:pPr>
      <w:r w:rsidRPr="00D62D27">
        <w:rPr>
          <w:sz w:val="22"/>
          <w:szCs w:val="22"/>
        </w:rPr>
        <w:t xml:space="preserve">or Plant DNA or RNA Viruses in the Presence of Helper Virus in Tissue Culture Systems, should be </w:t>
      </w:r>
    </w:p>
    <w:p w14:paraId="678331A0" w14:textId="77777777" w:rsidR="00D62D27" w:rsidRPr="00D62D27" w:rsidRDefault="00D62D27" w:rsidP="00D62D27">
      <w:pPr>
        <w:pStyle w:val="NoSpacing"/>
        <w:rPr>
          <w:sz w:val="22"/>
          <w:szCs w:val="22"/>
        </w:rPr>
      </w:pPr>
      <w:r w:rsidRPr="00D62D27">
        <w:rPr>
          <w:sz w:val="22"/>
          <w:szCs w:val="22"/>
        </w:rPr>
        <w:t xml:space="preserve">used. The DNA may contain fragments of the genome of viruses from more than one Family but each </w:t>
      </w:r>
    </w:p>
    <w:p w14:paraId="3C6DB776" w14:textId="2F13C741" w:rsidR="00D62D27" w:rsidRDefault="00D62D27" w:rsidP="00D62D27">
      <w:pPr>
        <w:pStyle w:val="NoSpacing"/>
        <w:rPr>
          <w:sz w:val="22"/>
          <w:szCs w:val="22"/>
        </w:rPr>
      </w:pPr>
      <w:r w:rsidRPr="00D62D27">
        <w:rPr>
          <w:sz w:val="22"/>
          <w:szCs w:val="22"/>
        </w:rPr>
        <w:t>fragment shall be less than two-thirds of a genome.</w:t>
      </w:r>
    </w:p>
    <w:p w14:paraId="180A015C" w14:textId="7CB48306" w:rsidR="00D62D27" w:rsidRDefault="00D62D27" w:rsidP="00D62D27">
      <w:pPr>
        <w:pStyle w:val="NoSpacing"/>
        <w:rPr>
          <w:sz w:val="22"/>
          <w:szCs w:val="22"/>
        </w:rPr>
      </w:pPr>
      <w:r>
        <w:rPr>
          <w:noProof/>
          <w:sz w:val="22"/>
          <w:szCs w:val="22"/>
        </w:rPr>
        <mc:AlternateContent>
          <mc:Choice Requires="wps">
            <w:drawing>
              <wp:anchor distT="0" distB="0" distL="114300" distR="114300" simplePos="0" relativeHeight="251662336" behindDoc="0" locked="0" layoutInCell="1" allowOverlap="1" wp14:anchorId="341385A0" wp14:editId="510ADF19">
                <wp:simplePos x="0" y="0"/>
                <wp:positionH relativeFrom="column">
                  <wp:posOffset>-36195</wp:posOffset>
                </wp:positionH>
                <wp:positionV relativeFrom="paragraph">
                  <wp:posOffset>177800</wp:posOffset>
                </wp:positionV>
                <wp:extent cx="6162675" cy="285750"/>
                <wp:effectExtent l="0" t="0" r="9525" b="0"/>
                <wp:wrapNone/>
                <wp:docPr id="1093036361" name="Text Box 4"/>
                <wp:cNvGraphicFramePr/>
                <a:graphic xmlns:a="http://schemas.openxmlformats.org/drawingml/2006/main">
                  <a:graphicData uri="http://schemas.microsoft.com/office/word/2010/wordprocessingShape">
                    <wps:wsp>
                      <wps:cNvSpPr txBox="1"/>
                      <wps:spPr>
                        <a:xfrm>
                          <a:off x="0" y="0"/>
                          <a:ext cx="6162675" cy="285750"/>
                        </a:xfrm>
                        <a:prstGeom prst="rect">
                          <a:avLst/>
                        </a:prstGeom>
                        <a:solidFill>
                          <a:schemeClr val="lt1"/>
                        </a:solidFill>
                        <a:ln w="6350">
                          <a:noFill/>
                        </a:ln>
                      </wps:spPr>
                      <wps:txbx>
                        <w:txbxContent>
                          <w:p w14:paraId="5D5A1EB5" w14:textId="09A07458" w:rsidR="00D62D27" w:rsidRPr="00D62D27" w:rsidRDefault="00D62D27" w:rsidP="00D62D27">
                            <w:pPr>
                              <w:shd w:val="clear" w:color="auto" w:fill="D9D9D9" w:themeFill="background1" w:themeFillShade="D9"/>
                              <w:rPr>
                                <w:b/>
                                <w:bCs/>
                              </w:rPr>
                            </w:pPr>
                            <w:r>
                              <w:rPr>
                                <w:b/>
                                <w:bCs/>
                              </w:rPr>
                              <w:t>Animal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1385A0" id="Text Box 4" o:spid="_x0000_s1028" type="#_x0000_t202" style="position:absolute;margin-left:-2.85pt;margin-top:14pt;width:485.25pt;height: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6UMAIAAFs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" fillcolor="white [3201]" stroked="f" strokeweight=".5pt">
                <v:textbox>
                  <w:txbxContent>
                    <w:p w14:paraId="5D5A1EB5" w14:textId="09A07458" w:rsidR="00D62D27" w:rsidRPr="00D62D27" w:rsidRDefault="00D62D27" w:rsidP="00D62D27">
                      <w:pPr>
                        <w:shd w:val="clear" w:color="auto" w:fill="D9D9D9" w:themeFill="background1" w:themeFillShade="D9"/>
                        <w:rPr>
                          <w:b/>
                          <w:bCs/>
                        </w:rPr>
                      </w:pPr>
                      <w:r>
                        <w:rPr>
                          <w:b/>
                          <w:bCs/>
                        </w:rPr>
                        <w:t>Animal Studies</w:t>
                      </w:r>
                    </w:p>
                  </w:txbxContent>
                </v:textbox>
              </v:shape>
            </w:pict>
          </mc:Fallback>
        </mc:AlternateContent>
      </w:r>
    </w:p>
    <w:p w14:paraId="66CABBD3" w14:textId="77777777" w:rsidR="00D62D27" w:rsidRDefault="00D62D27" w:rsidP="00D62D27">
      <w:pPr>
        <w:pStyle w:val="NoSpacing"/>
        <w:rPr>
          <w:sz w:val="22"/>
          <w:szCs w:val="22"/>
        </w:rPr>
      </w:pPr>
    </w:p>
    <w:p w14:paraId="737CF5AA" w14:textId="77777777" w:rsidR="00D62D27" w:rsidRDefault="00D62D27" w:rsidP="00D62D27">
      <w:pPr>
        <w:pStyle w:val="NoSpacing"/>
        <w:rPr>
          <w:sz w:val="22"/>
          <w:szCs w:val="22"/>
        </w:rPr>
      </w:pPr>
    </w:p>
    <w:p w14:paraId="2B6B1151" w14:textId="77777777" w:rsidR="00D62D27" w:rsidRPr="00D62D27" w:rsidRDefault="00D62D27" w:rsidP="00D62D27">
      <w:pPr>
        <w:pStyle w:val="NoSpacing"/>
        <w:rPr>
          <w:sz w:val="22"/>
          <w:szCs w:val="22"/>
        </w:rPr>
      </w:pPr>
      <w:r w:rsidRPr="00D62D27">
        <w:rPr>
          <w:b/>
          <w:bCs/>
          <w:sz w:val="22"/>
          <w:szCs w:val="22"/>
        </w:rPr>
        <w:t>Section III-D-4-a.</w:t>
      </w:r>
      <w:r w:rsidRPr="00D62D27">
        <w:rPr>
          <w:sz w:val="22"/>
          <w:szCs w:val="22"/>
        </w:rPr>
        <w:t xml:space="preserve"> Recombinant DNA, or DNA or RNA molecules derived therefrom, from any source </w:t>
      </w:r>
    </w:p>
    <w:p w14:paraId="45840EC4" w14:textId="77777777" w:rsidR="00D62D27" w:rsidRPr="00D62D27" w:rsidRDefault="00D62D27" w:rsidP="00D62D27">
      <w:pPr>
        <w:pStyle w:val="NoSpacing"/>
        <w:rPr>
          <w:sz w:val="22"/>
          <w:szCs w:val="22"/>
        </w:rPr>
      </w:pPr>
      <w:r w:rsidRPr="00D62D27">
        <w:rPr>
          <w:sz w:val="22"/>
          <w:szCs w:val="22"/>
        </w:rPr>
        <w:t xml:space="preserve">except for greater than two-thirds of eukaryotic viral genome may be transferred to any non-human </w:t>
      </w:r>
    </w:p>
    <w:p w14:paraId="763753D6" w14:textId="77777777" w:rsidR="00D62D27" w:rsidRPr="00D62D27" w:rsidRDefault="00D62D27" w:rsidP="00D62D27">
      <w:pPr>
        <w:pStyle w:val="NoSpacing"/>
        <w:rPr>
          <w:sz w:val="22"/>
          <w:szCs w:val="22"/>
        </w:rPr>
      </w:pPr>
      <w:r w:rsidRPr="00D62D27">
        <w:rPr>
          <w:sz w:val="22"/>
          <w:szCs w:val="22"/>
        </w:rPr>
        <w:t xml:space="preserve">vertebrate or any invertebrate organism and propagated under conditions of physical containment </w:t>
      </w:r>
    </w:p>
    <w:p w14:paraId="43982264" w14:textId="77777777" w:rsidR="00D62D27" w:rsidRPr="00D62D27" w:rsidRDefault="00D62D27" w:rsidP="00D62D27">
      <w:pPr>
        <w:pStyle w:val="NoSpacing"/>
        <w:rPr>
          <w:sz w:val="22"/>
          <w:szCs w:val="22"/>
        </w:rPr>
      </w:pPr>
      <w:r w:rsidRPr="00D62D27">
        <w:rPr>
          <w:sz w:val="22"/>
          <w:szCs w:val="22"/>
        </w:rPr>
        <w:t>comparable to BL1 or BL1-N and appropriate to the organism under study (see Section V-B,</w:t>
      </w:r>
    </w:p>
    <w:p w14:paraId="3E6C34AA" w14:textId="77777777" w:rsidR="00D62D27" w:rsidRPr="00D62D27" w:rsidRDefault="00D62D27" w:rsidP="00D62D27">
      <w:pPr>
        <w:pStyle w:val="NoSpacing"/>
        <w:rPr>
          <w:sz w:val="22"/>
          <w:szCs w:val="22"/>
        </w:rPr>
      </w:pPr>
      <w:r w:rsidRPr="00D62D27">
        <w:rPr>
          <w:sz w:val="22"/>
          <w:szCs w:val="22"/>
        </w:rPr>
        <w:t xml:space="preserve">Footnotes and References of Sections I-IV). Animals that contain sequences from viral vectors, which </w:t>
      </w:r>
    </w:p>
    <w:p w14:paraId="582D2B88" w14:textId="77777777" w:rsidR="00D62D27" w:rsidRPr="00D62D27" w:rsidRDefault="00D62D27" w:rsidP="00D62D27">
      <w:pPr>
        <w:pStyle w:val="NoSpacing"/>
        <w:rPr>
          <w:sz w:val="22"/>
          <w:szCs w:val="22"/>
        </w:rPr>
      </w:pPr>
      <w:r w:rsidRPr="00D62D27">
        <w:rPr>
          <w:sz w:val="22"/>
          <w:szCs w:val="22"/>
        </w:rPr>
        <w:t xml:space="preserve">do not lead to transmissible infection either directly or indirectly </w:t>
      </w:r>
      <w:proofErr w:type="gramStart"/>
      <w:r w:rsidRPr="00D62D27">
        <w:rPr>
          <w:sz w:val="22"/>
          <w:szCs w:val="22"/>
        </w:rPr>
        <w:t>as a result of</w:t>
      </w:r>
      <w:proofErr w:type="gramEnd"/>
      <w:r w:rsidRPr="00D62D27">
        <w:rPr>
          <w:sz w:val="22"/>
          <w:szCs w:val="22"/>
        </w:rPr>
        <w:t xml:space="preserve"> complementation or </w:t>
      </w:r>
    </w:p>
    <w:p w14:paraId="57EBEF13" w14:textId="77777777" w:rsidR="00D62D27" w:rsidRPr="00D62D27" w:rsidRDefault="00D62D27" w:rsidP="00D62D27">
      <w:pPr>
        <w:pStyle w:val="NoSpacing"/>
        <w:rPr>
          <w:sz w:val="22"/>
          <w:szCs w:val="22"/>
        </w:rPr>
      </w:pPr>
      <w:r w:rsidRPr="00D62D27">
        <w:rPr>
          <w:sz w:val="22"/>
          <w:szCs w:val="22"/>
        </w:rPr>
        <w:lastRenderedPageBreak/>
        <w:t xml:space="preserve">recombination in animals, may be propagated under conditions of physical containment comparable </w:t>
      </w:r>
    </w:p>
    <w:p w14:paraId="113F909C" w14:textId="77777777" w:rsidR="00D62D27" w:rsidRPr="00D62D27" w:rsidRDefault="00D62D27" w:rsidP="00D62D27">
      <w:pPr>
        <w:pStyle w:val="NoSpacing"/>
        <w:rPr>
          <w:sz w:val="22"/>
          <w:szCs w:val="22"/>
        </w:rPr>
      </w:pPr>
      <w:r w:rsidRPr="00D62D27">
        <w:rPr>
          <w:sz w:val="22"/>
          <w:szCs w:val="22"/>
        </w:rPr>
        <w:t xml:space="preserve">to BL1 or BL1-N and appropriate to the organism under study. Experiments involving the introduction </w:t>
      </w:r>
    </w:p>
    <w:p w14:paraId="4E9B68F1" w14:textId="77777777" w:rsidR="00D62D27" w:rsidRPr="00D62D27" w:rsidRDefault="00D62D27" w:rsidP="00D62D27">
      <w:pPr>
        <w:pStyle w:val="NoSpacing"/>
        <w:rPr>
          <w:sz w:val="22"/>
          <w:szCs w:val="22"/>
        </w:rPr>
      </w:pPr>
      <w:r w:rsidRPr="00D62D27">
        <w:rPr>
          <w:sz w:val="22"/>
          <w:szCs w:val="22"/>
        </w:rPr>
        <w:t>of other sequences from eukaryotic viral genomes into animals are covered under Section III-D-4-b,</w:t>
      </w:r>
    </w:p>
    <w:p w14:paraId="3B15CF33" w14:textId="77777777" w:rsidR="00D62D27" w:rsidRPr="00D62D27" w:rsidRDefault="00D62D27" w:rsidP="00D62D27">
      <w:pPr>
        <w:pStyle w:val="NoSpacing"/>
        <w:rPr>
          <w:sz w:val="22"/>
          <w:szCs w:val="22"/>
        </w:rPr>
      </w:pPr>
      <w:r w:rsidRPr="00D62D27">
        <w:rPr>
          <w:sz w:val="22"/>
          <w:szCs w:val="22"/>
        </w:rPr>
        <w:t xml:space="preserve">Experiments Involving Whole Animals. For experiments involving recombinant DNA-modified Risk </w:t>
      </w:r>
    </w:p>
    <w:p w14:paraId="4EBAB5B6" w14:textId="77777777" w:rsidR="00D62D27" w:rsidRPr="00D62D27" w:rsidRDefault="00D62D27" w:rsidP="00D62D27">
      <w:pPr>
        <w:pStyle w:val="NoSpacing"/>
        <w:rPr>
          <w:sz w:val="22"/>
          <w:szCs w:val="22"/>
        </w:rPr>
      </w:pPr>
      <w:r w:rsidRPr="00D62D27">
        <w:rPr>
          <w:sz w:val="22"/>
          <w:szCs w:val="22"/>
        </w:rPr>
        <w:t xml:space="preserve">Groups 2, 3, 4, or restricted organisms, see Sections V-A, V-G, and V-L, Footnotes and References of </w:t>
      </w:r>
    </w:p>
    <w:p w14:paraId="6BD9ED51" w14:textId="77777777" w:rsidR="00D62D27" w:rsidRPr="00D62D27" w:rsidRDefault="00D62D27" w:rsidP="00D62D27">
      <w:pPr>
        <w:pStyle w:val="NoSpacing"/>
        <w:rPr>
          <w:sz w:val="22"/>
          <w:szCs w:val="22"/>
        </w:rPr>
      </w:pPr>
      <w:r w:rsidRPr="00D62D27">
        <w:rPr>
          <w:sz w:val="22"/>
          <w:szCs w:val="22"/>
        </w:rPr>
        <w:t xml:space="preserve">Sections I-IV. It is important that the investigator demonstrate that the fraction of the viral genome </w:t>
      </w:r>
    </w:p>
    <w:p w14:paraId="22723357" w14:textId="77777777" w:rsidR="00D62D27" w:rsidRPr="00D62D27" w:rsidRDefault="00D62D27" w:rsidP="00D62D27">
      <w:pPr>
        <w:pStyle w:val="NoSpacing"/>
        <w:rPr>
          <w:sz w:val="22"/>
          <w:szCs w:val="22"/>
        </w:rPr>
      </w:pPr>
      <w:r w:rsidRPr="00D62D27">
        <w:rPr>
          <w:sz w:val="22"/>
          <w:szCs w:val="22"/>
        </w:rPr>
        <w:t xml:space="preserve">being utilized does not lead to productive infection. A U.S. Department of Agriculture permit is </w:t>
      </w:r>
    </w:p>
    <w:p w14:paraId="12284E46" w14:textId="77777777" w:rsidR="00D62D27" w:rsidRPr="00D62D27" w:rsidRDefault="00D62D27" w:rsidP="00D62D27">
      <w:pPr>
        <w:pStyle w:val="NoSpacing"/>
        <w:rPr>
          <w:sz w:val="22"/>
          <w:szCs w:val="22"/>
        </w:rPr>
      </w:pPr>
      <w:r w:rsidRPr="00D62D27">
        <w:rPr>
          <w:sz w:val="22"/>
          <w:szCs w:val="22"/>
        </w:rPr>
        <w:t xml:space="preserve">required for work with plant or animal pathogens (see Section V-G, Footnotes and References of </w:t>
      </w:r>
    </w:p>
    <w:p w14:paraId="2F4F99B7" w14:textId="77777777" w:rsidR="00D62D27" w:rsidRPr="00D62D27" w:rsidRDefault="00D62D27" w:rsidP="00D62D27">
      <w:pPr>
        <w:pStyle w:val="NoSpacing"/>
        <w:rPr>
          <w:sz w:val="22"/>
          <w:szCs w:val="22"/>
        </w:rPr>
      </w:pPr>
      <w:r w:rsidRPr="00D62D27">
        <w:rPr>
          <w:sz w:val="22"/>
          <w:szCs w:val="22"/>
        </w:rPr>
        <w:t xml:space="preserve">Sections I-IV). </w:t>
      </w:r>
    </w:p>
    <w:p w14:paraId="49C599FA" w14:textId="1B23949D" w:rsidR="00D62D27" w:rsidRDefault="00BB44F2" w:rsidP="00D62D27">
      <w:pPr>
        <w:pStyle w:val="NoSpacing"/>
        <w:rPr>
          <w:sz w:val="22"/>
          <w:szCs w:val="22"/>
        </w:rPr>
      </w:pPr>
      <w:r>
        <w:rPr>
          <w:noProof/>
          <w:sz w:val="22"/>
          <w:szCs w:val="22"/>
        </w:rPr>
        <mc:AlternateContent>
          <mc:Choice Requires="wps">
            <w:drawing>
              <wp:anchor distT="0" distB="0" distL="114300" distR="114300" simplePos="0" relativeHeight="251663360" behindDoc="0" locked="0" layoutInCell="1" allowOverlap="1" wp14:anchorId="3F090255" wp14:editId="0F23BE28">
                <wp:simplePos x="0" y="0"/>
                <wp:positionH relativeFrom="column">
                  <wp:posOffset>-45721</wp:posOffset>
                </wp:positionH>
                <wp:positionV relativeFrom="paragraph">
                  <wp:posOffset>162560</wp:posOffset>
                </wp:positionV>
                <wp:extent cx="6238875" cy="314325"/>
                <wp:effectExtent l="0" t="0" r="9525" b="9525"/>
                <wp:wrapNone/>
                <wp:docPr id="946779142" name="Text Box 5"/>
                <wp:cNvGraphicFramePr/>
                <a:graphic xmlns:a="http://schemas.openxmlformats.org/drawingml/2006/main">
                  <a:graphicData uri="http://schemas.microsoft.com/office/word/2010/wordprocessingShape">
                    <wps:wsp>
                      <wps:cNvSpPr txBox="1"/>
                      <wps:spPr>
                        <a:xfrm>
                          <a:off x="0" y="0"/>
                          <a:ext cx="6238875" cy="314325"/>
                        </a:xfrm>
                        <a:prstGeom prst="rect">
                          <a:avLst/>
                        </a:prstGeom>
                        <a:solidFill>
                          <a:schemeClr val="lt1"/>
                        </a:solidFill>
                        <a:ln w="6350">
                          <a:noFill/>
                        </a:ln>
                      </wps:spPr>
                      <wps:txbx>
                        <w:txbxContent>
                          <w:p w14:paraId="2A5D8680" w14:textId="1E293D71" w:rsidR="00BB44F2" w:rsidRDefault="00BB44F2" w:rsidP="00BB44F2">
                            <w:pPr>
                              <w:shd w:val="clear" w:color="auto" w:fill="D9D9D9" w:themeFill="background1" w:themeFillShade="D9"/>
                            </w:pPr>
                            <w:r w:rsidRPr="00BB44F2">
                              <w:t>APPENDIX B. CLASSIFICATION OF HUMAN ETIOLOGIC AGENTS ON THE BASIS OF HAZARD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90255" id="Text Box 5" o:spid="_x0000_s1029" type="#_x0000_t202" style="position:absolute;margin-left:-3.6pt;margin-top:12.8pt;width:491.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" fillcolor="white [3201]" stroked="f" strokeweight=".5pt">
                <v:textbox>
                  <w:txbxContent>
                    <w:p w14:paraId="2A5D8680" w14:textId="1E293D71" w:rsidR="00BB44F2" w:rsidRDefault="00BB44F2" w:rsidP="00BB44F2">
                      <w:pPr>
                        <w:shd w:val="clear" w:color="auto" w:fill="D9D9D9" w:themeFill="background1" w:themeFillShade="D9"/>
                      </w:pPr>
                      <w:r w:rsidRPr="00BB44F2">
                        <w:t>APPENDIX B. CLASSIFICATION OF HUMAN ETIOLOGIC AGENTS ON THE BASIS OF HAZARD</w:t>
                      </w:r>
                    </w:p>
                  </w:txbxContent>
                </v:textbox>
              </v:shape>
            </w:pict>
          </mc:Fallback>
        </mc:AlternateContent>
      </w:r>
    </w:p>
    <w:p w14:paraId="1BC8C37F" w14:textId="62E57FEB" w:rsidR="00D62D27" w:rsidRPr="00D62D27" w:rsidRDefault="00D62D27" w:rsidP="00D62D27">
      <w:pPr>
        <w:pStyle w:val="NoSpacing"/>
        <w:rPr>
          <w:sz w:val="22"/>
          <w:szCs w:val="22"/>
        </w:rPr>
      </w:pPr>
    </w:p>
    <w:p w14:paraId="0E694268" w14:textId="77777777" w:rsidR="00BB44F2" w:rsidRDefault="00BB44F2" w:rsidP="00D62D27">
      <w:pPr>
        <w:pStyle w:val="NoSpacing"/>
        <w:rPr>
          <w:sz w:val="22"/>
          <w:szCs w:val="22"/>
        </w:rPr>
      </w:pPr>
    </w:p>
    <w:p w14:paraId="00009397" w14:textId="67CBBEF2" w:rsidR="00D62D27" w:rsidRPr="00BB44F2" w:rsidRDefault="00D62D27" w:rsidP="00D62D27">
      <w:pPr>
        <w:pStyle w:val="NoSpacing"/>
        <w:rPr>
          <w:b/>
          <w:bCs/>
          <w:sz w:val="22"/>
          <w:szCs w:val="22"/>
        </w:rPr>
      </w:pPr>
      <w:r w:rsidRPr="00BB44F2">
        <w:rPr>
          <w:b/>
          <w:bCs/>
          <w:sz w:val="22"/>
          <w:szCs w:val="22"/>
        </w:rPr>
        <w:t xml:space="preserve">Appendix B-III-D. Risk Group 3 (RG3) - Viruses and Prions </w:t>
      </w:r>
    </w:p>
    <w:p w14:paraId="312AC107" w14:textId="77777777" w:rsidR="00D62D27" w:rsidRPr="00D62D27" w:rsidRDefault="00D62D27" w:rsidP="00D62D27">
      <w:pPr>
        <w:pStyle w:val="NoSpacing"/>
        <w:rPr>
          <w:sz w:val="22"/>
          <w:szCs w:val="22"/>
        </w:rPr>
      </w:pPr>
      <w:r w:rsidRPr="00D62D27">
        <w:rPr>
          <w:sz w:val="22"/>
          <w:szCs w:val="22"/>
        </w:rPr>
        <w:t xml:space="preserve"> </w:t>
      </w:r>
    </w:p>
    <w:p w14:paraId="503BF3B9" w14:textId="77777777" w:rsidR="00D62D27" w:rsidRPr="00D62D27" w:rsidRDefault="00D62D27" w:rsidP="00D62D27">
      <w:pPr>
        <w:pStyle w:val="NoSpacing"/>
        <w:rPr>
          <w:sz w:val="22"/>
          <w:szCs w:val="22"/>
        </w:rPr>
      </w:pPr>
      <w:r w:rsidRPr="00D62D27">
        <w:rPr>
          <w:sz w:val="22"/>
          <w:szCs w:val="22"/>
        </w:rPr>
        <w:t xml:space="preserve">Retroviruses </w:t>
      </w:r>
    </w:p>
    <w:p w14:paraId="2701E117" w14:textId="77777777" w:rsidR="00D62D27" w:rsidRPr="00D62D27" w:rsidRDefault="00D62D27" w:rsidP="00D62D27">
      <w:pPr>
        <w:pStyle w:val="NoSpacing"/>
        <w:rPr>
          <w:sz w:val="22"/>
          <w:szCs w:val="22"/>
        </w:rPr>
      </w:pPr>
      <w:r w:rsidRPr="00D62D27">
        <w:rPr>
          <w:sz w:val="22"/>
          <w:szCs w:val="22"/>
        </w:rPr>
        <w:t>--Human immunodeficiency virus (HIV) types 1 and 2</w:t>
      </w:r>
    </w:p>
    <w:p w14:paraId="3F6ED857" w14:textId="4CD7D533" w:rsidR="00BB44F2" w:rsidRDefault="00BB44F2" w:rsidP="00D62D27">
      <w:pPr>
        <w:pStyle w:val="NoSpacing"/>
        <w:rPr>
          <w:sz w:val="22"/>
          <w:szCs w:val="22"/>
        </w:rPr>
      </w:pPr>
      <w:r>
        <w:rPr>
          <w:noProof/>
          <w:sz w:val="22"/>
          <w:szCs w:val="22"/>
        </w:rPr>
        <mc:AlternateContent>
          <mc:Choice Requires="wps">
            <w:drawing>
              <wp:anchor distT="0" distB="0" distL="114300" distR="114300" simplePos="0" relativeHeight="251664384" behindDoc="0" locked="0" layoutInCell="1" allowOverlap="1" wp14:anchorId="0F1AE716" wp14:editId="780FA432">
                <wp:simplePos x="0" y="0"/>
                <wp:positionH relativeFrom="column">
                  <wp:posOffset>-45720</wp:posOffset>
                </wp:positionH>
                <wp:positionV relativeFrom="paragraph">
                  <wp:posOffset>159385</wp:posOffset>
                </wp:positionV>
                <wp:extent cx="6238875" cy="266700"/>
                <wp:effectExtent l="0" t="0" r="9525" b="0"/>
                <wp:wrapNone/>
                <wp:docPr id="1496683367" name="Text Box 6"/>
                <wp:cNvGraphicFramePr/>
                <a:graphic xmlns:a="http://schemas.openxmlformats.org/drawingml/2006/main">
                  <a:graphicData uri="http://schemas.microsoft.com/office/word/2010/wordprocessingShape">
                    <wps:wsp>
                      <wps:cNvSpPr txBox="1"/>
                      <wps:spPr>
                        <a:xfrm>
                          <a:off x="0" y="0"/>
                          <a:ext cx="6238875" cy="266700"/>
                        </a:xfrm>
                        <a:prstGeom prst="rect">
                          <a:avLst/>
                        </a:prstGeom>
                        <a:solidFill>
                          <a:schemeClr val="lt1"/>
                        </a:solidFill>
                        <a:ln w="6350">
                          <a:noFill/>
                        </a:ln>
                      </wps:spPr>
                      <wps:txbx>
                        <w:txbxContent>
                          <w:p w14:paraId="76634D51" w14:textId="1CA99E60" w:rsidR="00BB44F2" w:rsidRDefault="00BB44F2" w:rsidP="00BB44F2">
                            <w:pPr>
                              <w:shd w:val="clear" w:color="auto" w:fill="D9D9D9" w:themeFill="background1" w:themeFillShade="D9"/>
                            </w:pPr>
                            <w:r w:rsidRPr="00BB44F2">
                              <w:t>BL2 Facilities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1AE716" id="Text Box 6" o:spid="_x0000_s1030" type="#_x0000_t202" style="position:absolute;margin-left:-3.6pt;margin-top:12.55pt;width:491.25pt;height: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QuMQIAAFsEAAAOAAAAZHJzL2Uyb0RvYy54bWysVEuP2jAQvlfqf7B8LwEWWBo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" fillcolor="white [3201]" stroked="f" strokeweight=".5pt">
                <v:textbox>
                  <w:txbxContent>
                    <w:p w14:paraId="76634D51" w14:textId="1CA99E60" w:rsidR="00BB44F2" w:rsidRDefault="00BB44F2" w:rsidP="00BB44F2">
                      <w:pPr>
                        <w:shd w:val="clear" w:color="auto" w:fill="D9D9D9" w:themeFill="background1" w:themeFillShade="D9"/>
                      </w:pPr>
                      <w:r w:rsidRPr="00BB44F2">
                        <w:t>BL2 Facilities</w:t>
                      </w:r>
                    </w:p>
                  </w:txbxContent>
                </v:textbox>
              </v:shape>
            </w:pict>
          </mc:Fallback>
        </mc:AlternateContent>
      </w:r>
    </w:p>
    <w:p w14:paraId="1469B09A" w14:textId="77777777" w:rsidR="00BB44F2" w:rsidRDefault="00BB44F2" w:rsidP="00D62D27">
      <w:pPr>
        <w:pStyle w:val="NoSpacing"/>
        <w:rPr>
          <w:sz w:val="22"/>
          <w:szCs w:val="22"/>
        </w:rPr>
      </w:pPr>
    </w:p>
    <w:p w14:paraId="249FDB43" w14:textId="77777777" w:rsidR="00BB44F2" w:rsidRDefault="00BB44F2" w:rsidP="00D62D27">
      <w:pPr>
        <w:pStyle w:val="NoSpacing"/>
        <w:rPr>
          <w:sz w:val="22"/>
          <w:szCs w:val="22"/>
        </w:rPr>
      </w:pPr>
    </w:p>
    <w:p w14:paraId="3D127E05" w14:textId="35A8B7CC" w:rsidR="00D62D27" w:rsidRPr="00BB44F2" w:rsidRDefault="00D62D27" w:rsidP="00D62D27">
      <w:pPr>
        <w:pStyle w:val="NoSpacing"/>
        <w:rPr>
          <w:b/>
          <w:bCs/>
          <w:sz w:val="22"/>
          <w:szCs w:val="22"/>
        </w:rPr>
      </w:pPr>
      <w:r w:rsidRPr="00BB44F2">
        <w:rPr>
          <w:b/>
          <w:bCs/>
          <w:sz w:val="22"/>
          <w:szCs w:val="22"/>
        </w:rPr>
        <w:t xml:space="preserve">Appendix G-II-B-3. Containment Equipment (BL2) </w:t>
      </w:r>
    </w:p>
    <w:p w14:paraId="097950E6" w14:textId="77777777" w:rsidR="00D62D27" w:rsidRPr="00D62D27" w:rsidRDefault="00D62D27" w:rsidP="00D62D27">
      <w:pPr>
        <w:pStyle w:val="NoSpacing"/>
        <w:rPr>
          <w:sz w:val="22"/>
          <w:szCs w:val="22"/>
        </w:rPr>
      </w:pPr>
      <w:r w:rsidRPr="00BB44F2">
        <w:rPr>
          <w:b/>
          <w:bCs/>
          <w:sz w:val="22"/>
          <w:szCs w:val="22"/>
        </w:rPr>
        <w:t>Appendix G-II-B-3-a.</w:t>
      </w:r>
      <w:r w:rsidRPr="00D62D27">
        <w:rPr>
          <w:sz w:val="22"/>
          <w:szCs w:val="22"/>
        </w:rPr>
        <w:t xml:space="preserve"> </w:t>
      </w:r>
      <w:proofErr w:type="gramStart"/>
      <w:r w:rsidRPr="00D62D27">
        <w:rPr>
          <w:sz w:val="22"/>
          <w:szCs w:val="22"/>
        </w:rPr>
        <w:t>Biological</w:t>
      </w:r>
      <w:proofErr w:type="gramEnd"/>
      <w:r w:rsidRPr="00D62D27">
        <w:rPr>
          <w:sz w:val="22"/>
          <w:szCs w:val="22"/>
        </w:rPr>
        <w:t xml:space="preserve"> safety cabinets (Class I or II) (see Appendix G-III-L, Footnotes and </w:t>
      </w:r>
    </w:p>
    <w:p w14:paraId="0E213B2F" w14:textId="77777777" w:rsidR="00D62D27" w:rsidRPr="00D62D27" w:rsidRDefault="00D62D27" w:rsidP="00D62D27">
      <w:pPr>
        <w:pStyle w:val="NoSpacing"/>
        <w:rPr>
          <w:sz w:val="22"/>
          <w:szCs w:val="22"/>
        </w:rPr>
      </w:pPr>
      <w:r w:rsidRPr="00D62D27">
        <w:rPr>
          <w:sz w:val="22"/>
          <w:szCs w:val="22"/>
        </w:rPr>
        <w:t xml:space="preserve">References </w:t>
      </w:r>
      <w:proofErr w:type="gramStart"/>
      <w:r w:rsidRPr="00D62D27">
        <w:rPr>
          <w:sz w:val="22"/>
          <w:szCs w:val="22"/>
        </w:rPr>
        <w:t>of</w:t>
      </w:r>
      <w:proofErr w:type="gramEnd"/>
      <w:r w:rsidRPr="00D62D27">
        <w:rPr>
          <w:sz w:val="22"/>
          <w:szCs w:val="22"/>
        </w:rPr>
        <w:t xml:space="preserve"> Appendix G) or other appropriate personal protective or physical containment devices </w:t>
      </w:r>
    </w:p>
    <w:p w14:paraId="2BE83352" w14:textId="77777777" w:rsidR="00D62D27" w:rsidRPr="00D62D27" w:rsidRDefault="00D62D27" w:rsidP="00D62D27">
      <w:pPr>
        <w:pStyle w:val="NoSpacing"/>
        <w:rPr>
          <w:sz w:val="22"/>
          <w:szCs w:val="22"/>
        </w:rPr>
      </w:pPr>
      <w:r w:rsidRPr="00D62D27">
        <w:rPr>
          <w:sz w:val="22"/>
          <w:szCs w:val="22"/>
        </w:rPr>
        <w:t xml:space="preserve">are used whenever: </w:t>
      </w:r>
    </w:p>
    <w:p w14:paraId="0046C1BA" w14:textId="77777777" w:rsidR="00BB44F2" w:rsidRDefault="00BB44F2" w:rsidP="00D62D27">
      <w:pPr>
        <w:pStyle w:val="NoSpacing"/>
        <w:rPr>
          <w:sz w:val="22"/>
          <w:szCs w:val="22"/>
        </w:rPr>
      </w:pPr>
    </w:p>
    <w:p w14:paraId="0605A1F1" w14:textId="23AB5E20" w:rsidR="00D62D27" w:rsidRPr="00D62D27" w:rsidRDefault="00D62D27" w:rsidP="00D62D27">
      <w:pPr>
        <w:pStyle w:val="NoSpacing"/>
        <w:rPr>
          <w:sz w:val="22"/>
          <w:szCs w:val="22"/>
        </w:rPr>
      </w:pPr>
      <w:r w:rsidRPr="00BB44F2">
        <w:rPr>
          <w:b/>
          <w:bCs/>
          <w:sz w:val="22"/>
          <w:szCs w:val="22"/>
        </w:rPr>
        <w:t>Appendix G-II-B-3-a-(1).</w:t>
      </w:r>
      <w:r w:rsidRPr="00D62D27">
        <w:rPr>
          <w:sz w:val="22"/>
          <w:szCs w:val="22"/>
        </w:rPr>
        <w:t xml:space="preserve"> Procedures with a high potential for creating aerosols are conducted (see </w:t>
      </w:r>
    </w:p>
    <w:p w14:paraId="2122432A" w14:textId="77777777" w:rsidR="00D62D27" w:rsidRPr="00D62D27" w:rsidRDefault="00D62D27" w:rsidP="00D62D27">
      <w:pPr>
        <w:pStyle w:val="NoSpacing"/>
        <w:rPr>
          <w:sz w:val="22"/>
          <w:szCs w:val="22"/>
        </w:rPr>
      </w:pPr>
      <w:r w:rsidRPr="00D62D27">
        <w:rPr>
          <w:sz w:val="22"/>
          <w:szCs w:val="22"/>
        </w:rPr>
        <w:t xml:space="preserve">Appendix G-III-O, Footnotes and References of Appendix G). These may include centrifuging, </w:t>
      </w:r>
    </w:p>
    <w:p w14:paraId="3A7766F8" w14:textId="77777777" w:rsidR="00D62D27" w:rsidRPr="00D62D27" w:rsidRDefault="00D62D27" w:rsidP="00D62D27">
      <w:pPr>
        <w:pStyle w:val="NoSpacing"/>
        <w:rPr>
          <w:sz w:val="22"/>
          <w:szCs w:val="22"/>
        </w:rPr>
      </w:pPr>
      <w:r w:rsidRPr="00D62D27">
        <w:rPr>
          <w:sz w:val="22"/>
          <w:szCs w:val="22"/>
        </w:rPr>
        <w:t xml:space="preserve">grinding, blending, vigorous shaking or mixing, sonic disruption, opening containers of materials </w:t>
      </w:r>
    </w:p>
    <w:p w14:paraId="11B6013A" w14:textId="77777777" w:rsidR="00D62D27" w:rsidRPr="00D62D27" w:rsidRDefault="00D62D27" w:rsidP="00D62D27">
      <w:pPr>
        <w:pStyle w:val="NoSpacing"/>
        <w:rPr>
          <w:sz w:val="22"/>
          <w:szCs w:val="22"/>
        </w:rPr>
      </w:pPr>
      <w:r w:rsidRPr="00D62D27">
        <w:rPr>
          <w:sz w:val="22"/>
          <w:szCs w:val="22"/>
        </w:rPr>
        <w:t xml:space="preserve">whose internal pressures may be different from ambient pressures, intranasal inoculation of animals, </w:t>
      </w:r>
    </w:p>
    <w:p w14:paraId="0E59CC57" w14:textId="77777777" w:rsidR="00D62D27" w:rsidRPr="00D62D27" w:rsidRDefault="00D62D27" w:rsidP="00D62D27">
      <w:pPr>
        <w:pStyle w:val="NoSpacing"/>
        <w:rPr>
          <w:sz w:val="22"/>
          <w:szCs w:val="22"/>
        </w:rPr>
      </w:pPr>
      <w:r w:rsidRPr="00D62D27">
        <w:rPr>
          <w:sz w:val="22"/>
          <w:szCs w:val="22"/>
        </w:rPr>
        <w:t xml:space="preserve">and harvesting infected tissues from animals or eggs. </w:t>
      </w:r>
    </w:p>
    <w:p w14:paraId="2600D6E9" w14:textId="77777777" w:rsidR="00D62D27" w:rsidRPr="00D62D27" w:rsidRDefault="00D62D27" w:rsidP="00D62D27">
      <w:pPr>
        <w:pStyle w:val="NoSpacing"/>
        <w:rPr>
          <w:sz w:val="22"/>
          <w:szCs w:val="22"/>
        </w:rPr>
      </w:pPr>
      <w:r w:rsidRPr="00BB44F2">
        <w:rPr>
          <w:b/>
          <w:bCs/>
          <w:sz w:val="22"/>
          <w:szCs w:val="22"/>
        </w:rPr>
        <w:t>Appendix G-II-B-3-a-(2).</w:t>
      </w:r>
      <w:r w:rsidRPr="00D62D27">
        <w:rPr>
          <w:sz w:val="22"/>
          <w:szCs w:val="22"/>
        </w:rPr>
        <w:t xml:space="preserve"> High concentrations or large volumes of organisms containing recombinant </w:t>
      </w:r>
    </w:p>
    <w:p w14:paraId="0941700E" w14:textId="77777777" w:rsidR="00D62D27" w:rsidRPr="00D62D27" w:rsidRDefault="00D62D27" w:rsidP="00D62D27">
      <w:pPr>
        <w:pStyle w:val="NoSpacing"/>
        <w:rPr>
          <w:sz w:val="22"/>
          <w:szCs w:val="22"/>
        </w:rPr>
      </w:pPr>
      <w:r w:rsidRPr="00D62D27">
        <w:rPr>
          <w:sz w:val="22"/>
          <w:szCs w:val="22"/>
        </w:rPr>
        <w:t xml:space="preserve">DNA molecules are used. Such materials may be centrifuged in the open laboratory if sealed beads or </w:t>
      </w:r>
    </w:p>
    <w:p w14:paraId="2E748089" w14:textId="77777777" w:rsidR="00D62D27" w:rsidRPr="00D62D27" w:rsidRDefault="00D62D27" w:rsidP="00D62D27">
      <w:pPr>
        <w:pStyle w:val="NoSpacing"/>
        <w:rPr>
          <w:sz w:val="22"/>
          <w:szCs w:val="22"/>
        </w:rPr>
      </w:pPr>
      <w:r w:rsidRPr="00D62D27">
        <w:rPr>
          <w:sz w:val="22"/>
          <w:szCs w:val="22"/>
        </w:rPr>
        <w:t xml:space="preserve">centrifuge safety cups are used and if they are opened only in a biological safety cabinet. </w:t>
      </w:r>
    </w:p>
    <w:p w14:paraId="1A274AE8" w14:textId="77777777" w:rsidR="00BB44F2" w:rsidRDefault="00BB44F2" w:rsidP="00D62D27">
      <w:pPr>
        <w:pStyle w:val="NoSpacing"/>
        <w:rPr>
          <w:sz w:val="22"/>
          <w:szCs w:val="22"/>
        </w:rPr>
      </w:pPr>
    </w:p>
    <w:p w14:paraId="4673CB21" w14:textId="322D97DA" w:rsidR="00D62D27" w:rsidRPr="00BB44F2" w:rsidRDefault="00D62D27" w:rsidP="00D62D27">
      <w:pPr>
        <w:pStyle w:val="NoSpacing"/>
        <w:rPr>
          <w:b/>
          <w:bCs/>
          <w:sz w:val="22"/>
          <w:szCs w:val="22"/>
        </w:rPr>
      </w:pPr>
      <w:r w:rsidRPr="00BB44F2">
        <w:rPr>
          <w:b/>
          <w:bCs/>
          <w:sz w:val="22"/>
          <w:szCs w:val="22"/>
        </w:rPr>
        <w:t xml:space="preserve">Appendix G-II-B-4. Laboratory Facilities (BL2) </w:t>
      </w:r>
    </w:p>
    <w:p w14:paraId="63449624" w14:textId="77777777" w:rsidR="00D62D27" w:rsidRPr="00D62D27" w:rsidRDefault="00D62D27" w:rsidP="00D62D27">
      <w:pPr>
        <w:pStyle w:val="NoSpacing"/>
        <w:rPr>
          <w:sz w:val="22"/>
          <w:szCs w:val="22"/>
        </w:rPr>
      </w:pPr>
      <w:r w:rsidRPr="00BB44F2">
        <w:rPr>
          <w:b/>
          <w:bCs/>
          <w:sz w:val="22"/>
          <w:szCs w:val="22"/>
        </w:rPr>
        <w:t>Appendix G-II-B-4-a.</w:t>
      </w:r>
      <w:r w:rsidRPr="00D62D27">
        <w:rPr>
          <w:sz w:val="22"/>
          <w:szCs w:val="22"/>
        </w:rPr>
        <w:t xml:space="preserve"> The laboratory is designed so that it can be easily cleaned. </w:t>
      </w:r>
    </w:p>
    <w:p w14:paraId="5940C528" w14:textId="77777777" w:rsidR="00D62D27" w:rsidRPr="00D62D27" w:rsidRDefault="00D62D27" w:rsidP="00D62D27">
      <w:pPr>
        <w:pStyle w:val="NoSpacing"/>
        <w:rPr>
          <w:sz w:val="22"/>
          <w:szCs w:val="22"/>
        </w:rPr>
      </w:pPr>
      <w:r w:rsidRPr="00BB44F2">
        <w:rPr>
          <w:b/>
          <w:bCs/>
          <w:sz w:val="22"/>
          <w:szCs w:val="22"/>
        </w:rPr>
        <w:t>Appendix G-II-B-4-b.</w:t>
      </w:r>
      <w:r w:rsidRPr="00D62D27">
        <w:rPr>
          <w:sz w:val="22"/>
          <w:szCs w:val="22"/>
        </w:rPr>
        <w:t xml:space="preserve"> Bench tops are impervious to water and resistant to acids, alkalis, organic </w:t>
      </w:r>
    </w:p>
    <w:p w14:paraId="24D886D2" w14:textId="77777777" w:rsidR="00D62D27" w:rsidRPr="00D62D27" w:rsidRDefault="00D62D27" w:rsidP="00D62D27">
      <w:pPr>
        <w:pStyle w:val="NoSpacing"/>
        <w:rPr>
          <w:sz w:val="22"/>
          <w:szCs w:val="22"/>
        </w:rPr>
      </w:pPr>
      <w:r w:rsidRPr="00D62D27">
        <w:rPr>
          <w:sz w:val="22"/>
          <w:szCs w:val="22"/>
        </w:rPr>
        <w:t xml:space="preserve">solvents, and moderate heat. </w:t>
      </w:r>
    </w:p>
    <w:p w14:paraId="21B8E05C" w14:textId="77777777" w:rsidR="00D62D27" w:rsidRPr="00D62D27" w:rsidRDefault="00D62D27" w:rsidP="00D62D27">
      <w:pPr>
        <w:pStyle w:val="NoSpacing"/>
        <w:rPr>
          <w:sz w:val="22"/>
          <w:szCs w:val="22"/>
        </w:rPr>
      </w:pPr>
      <w:r w:rsidRPr="00BB44F2">
        <w:rPr>
          <w:b/>
          <w:bCs/>
          <w:sz w:val="22"/>
          <w:szCs w:val="22"/>
        </w:rPr>
        <w:t>Appendix G-II-B-4-c.</w:t>
      </w:r>
      <w:r w:rsidRPr="00D62D27">
        <w:rPr>
          <w:sz w:val="22"/>
          <w:szCs w:val="22"/>
        </w:rPr>
        <w:t xml:space="preserve"> Laboratory furniture is sturdy and spaces between benches, cabinets, and </w:t>
      </w:r>
    </w:p>
    <w:p w14:paraId="4C83FA7E" w14:textId="77777777" w:rsidR="00D62D27" w:rsidRPr="00D62D27" w:rsidRDefault="00D62D27" w:rsidP="00D62D27">
      <w:pPr>
        <w:pStyle w:val="NoSpacing"/>
        <w:rPr>
          <w:sz w:val="22"/>
          <w:szCs w:val="22"/>
        </w:rPr>
      </w:pPr>
      <w:r w:rsidRPr="00D62D27">
        <w:rPr>
          <w:sz w:val="22"/>
          <w:szCs w:val="22"/>
        </w:rPr>
        <w:t xml:space="preserve">equipment </w:t>
      </w:r>
      <w:proofErr w:type="gramStart"/>
      <w:r w:rsidRPr="00D62D27">
        <w:rPr>
          <w:sz w:val="22"/>
          <w:szCs w:val="22"/>
        </w:rPr>
        <w:t>are</w:t>
      </w:r>
      <w:proofErr w:type="gramEnd"/>
      <w:r w:rsidRPr="00D62D27">
        <w:rPr>
          <w:sz w:val="22"/>
          <w:szCs w:val="22"/>
        </w:rPr>
        <w:t xml:space="preserve"> accessible for cleaning. </w:t>
      </w:r>
    </w:p>
    <w:p w14:paraId="7E2DA224" w14:textId="77777777" w:rsidR="00D62D27" w:rsidRPr="00D62D27" w:rsidRDefault="00D62D27" w:rsidP="00D62D27">
      <w:pPr>
        <w:pStyle w:val="NoSpacing"/>
        <w:rPr>
          <w:sz w:val="22"/>
          <w:szCs w:val="22"/>
        </w:rPr>
      </w:pPr>
      <w:r w:rsidRPr="00BB44F2">
        <w:rPr>
          <w:b/>
          <w:bCs/>
          <w:sz w:val="22"/>
          <w:szCs w:val="22"/>
        </w:rPr>
        <w:t>Appendix G-II-B-4-d.</w:t>
      </w:r>
      <w:r w:rsidRPr="00D62D27">
        <w:rPr>
          <w:sz w:val="22"/>
          <w:szCs w:val="22"/>
        </w:rPr>
        <w:t xml:space="preserve"> Each laboratory contains a sink for hand washing. </w:t>
      </w:r>
    </w:p>
    <w:p w14:paraId="37B22E46" w14:textId="77777777" w:rsidR="00D62D27" w:rsidRPr="00D62D27" w:rsidRDefault="00D62D27" w:rsidP="00D62D27">
      <w:pPr>
        <w:pStyle w:val="NoSpacing"/>
        <w:rPr>
          <w:sz w:val="22"/>
          <w:szCs w:val="22"/>
        </w:rPr>
      </w:pPr>
      <w:r w:rsidRPr="00BB44F2">
        <w:rPr>
          <w:b/>
          <w:bCs/>
          <w:sz w:val="22"/>
          <w:szCs w:val="22"/>
        </w:rPr>
        <w:t>Appendix G-II-B-4-e.</w:t>
      </w:r>
      <w:r w:rsidRPr="00D62D27">
        <w:rPr>
          <w:sz w:val="22"/>
          <w:szCs w:val="22"/>
        </w:rPr>
        <w:t xml:space="preserve"> If the laboratory has windows that open, they are fitted with fly screens. </w:t>
      </w:r>
    </w:p>
    <w:p w14:paraId="67FC5714" w14:textId="49A5FC2F" w:rsidR="00D62D27" w:rsidRPr="00D62D27" w:rsidRDefault="00D62D27" w:rsidP="00D62D27">
      <w:pPr>
        <w:pStyle w:val="NoSpacing"/>
        <w:rPr>
          <w:sz w:val="22"/>
          <w:szCs w:val="22"/>
        </w:rPr>
      </w:pPr>
      <w:r w:rsidRPr="00BB44F2">
        <w:rPr>
          <w:b/>
          <w:bCs/>
          <w:sz w:val="22"/>
          <w:szCs w:val="22"/>
        </w:rPr>
        <w:t>Appendix G-II-B-4-f.</w:t>
      </w:r>
      <w:r w:rsidRPr="00D62D27">
        <w:rPr>
          <w:sz w:val="22"/>
          <w:szCs w:val="22"/>
        </w:rPr>
        <w:t xml:space="preserve"> An autoclave for decontaminating laboratory </w:t>
      </w:r>
      <w:proofErr w:type="gramStart"/>
      <w:r w:rsidRPr="00D62D27">
        <w:rPr>
          <w:sz w:val="22"/>
          <w:szCs w:val="22"/>
        </w:rPr>
        <w:t>wastes</w:t>
      </w:r>
      <w:proofErr w:type="gramEnd"/>
      <w:r w:rsidRPr="00D62D27">
        <w:rPr>
          <w:sz w:val="22"/>
          <w:szCs w:val="22"/>
        </w:rPr>
        <w:t xml:space="preserve"> is available.</w:t>
      </w:r>
    </w:p>
    <w:sectPr w:rsidR="00D62D27" w:rsidRPr="00D62D27" w:rsidSect="006220D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71E"/>
    <w:multiLevelType w:val="hybridMultilevel"/>
    <w:tmpl w:val="02388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478F7"/>
    <w:multiLevelType w:val="hybridMultilevel"/>
    <w:tmpl w:val="AEFED348"/>
    <w:lvl w:ilvl="0" w:tplc="C65C461A">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EB2DF9"/>
    <w:multiLevelType w:val="hybridMultilevel"/>
    <w:tmpl w:val="CD38763E"/>
    <w:lvl w:ilvl="0" w:tplc="C65C461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9236D"/>
    <w:multiLevelType w:val="hybridMultilevel"/>
    <w:tmpl w:val="AC78F73A"/>
    <w:lvl w:ilvl="0" w:tplc="C65C461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A7677"/>
    <w:multiLevelType w:val="hybridMultilevel"/>
    <w:tmpl w:val="91F28B8C"/>
    <w:lvl w:ilvl="0" w:tplc="C65C461A">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596981"/>
    <w:multiLevelType w:val="hybridMultilevel"/>
    <w:tmpl w:val="974A59E8"/>
    <w:lvl w:ilvl="0" w:tplc="C65C461A">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324908"/>
    <w:multiLevelType w:val="hybridMultilevel"/>
    <w:tmpl w:val="E83CE230"/>
    <w:lvl w:ilvl="0" w:tplc="C65C461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434827"/>
    <w:multiLevelType w:val="hybridMultilevel"/>
    <w:tmpl w:val="6F56BE8E"/>
    <w:lvl w:ilvl="0" w:tplc="C65C461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A0504"/>
    <w:multiLevelType w:val="hybridMultilevel"/>
    <w:tmpl w:val="C40E0682"/>
    <w:lvl w:ilvl="0" w:tplc="C65C461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713A31"/>
    <w:multiLevelType w:val="hybridMultilevel"/>
    <w:tmpl w:val="74EC216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30520E2"/>
    <w:multiLevelType w:val="hybridMultilevel"/>
    <w:tmpl w:val="8D2C4C64"/>
    <w:lvl w:ilvl="0" w:tplc="C65C461A">
      <w:numFmt w:val="bullet"/>
      <w:lvlText w:val="•"/>
      <w:lvlJc w:val="left"/>
      <w:pPr>
        <w:ind w:left="360" w:hanging="360"/>
      </w:pPr>
      <w:rPr>
        <w:rFonts w:ascii="Aptos" w:eastAsiaTheme="minorHAnsi" w:hAnsi="Apto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CB32BC"/>
    <w:multiLevelType w:val="hybridMultilevel"/>
    <w:tmpl w:val="71A2B39A"/>
    <w:lvl w:ilvl="0" w:tplc="C65C461A">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DF78C7"/>
    <w:multiLevelType w:val="hybridMultilevel"/>
    <w:tmpl w:val="95A66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0F27D0"/>
    <w:multiLevelType w:val="hybridMultilevel"/>
    <w:tmpl w:val="56F21D3E"/>
    <w:lvl w:ilvl="0" w:tplc="C65C461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36C4D"/>
    <w:multiLevelType w:val="hybridMultilevel"/>
    <w:tmpl w:val="699887D6"/>
    <w:lvl w:ilvl="0" w:tplc="C65C461A">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C9C42E0"/>
    <w:multiLevelType w:val="hybridMultilevel"/>
    <w:tmpl w:val="979E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599800">
    <w:abstractNumId w:val="12"/>
  </w:num>
  <w:num w:numId="2" w16cid:durableId="1871870025">
    <w:abstractNumId w:val="8"/>
  </w:num>
  <w:num w:numId="3" w16cid:durableId="1612398855">
    <w:abstractNumId w:val="13"/>
  </w:num>
  <w:num w:numId="4" w16cid:durableId="1033001966">
    <w:abstractNumId w:val="0"/>
  </w:num>
  <w:num w:numId="5" w16cid:durableId="549850174">
    <w:abstractNumId w:val="10"/>
  </w:num>
  <w:num w:numId="6" w16cid:durableId="664239477">
    <w:abstractNumId w:val="9"/>
  </w:num>
  <w:num w:numId="7" w16cid:durableId="1579827470">
    <w:abstractNumId w:val="15"/>
  </w:num>
  <w:num w:numId="8" w16cid:durableId="1666741217">
    <w:abstractNumId w:val="7"/>
  </w:num>
  <w:num w:numId="9" w16cid:durableId="1342053068">
    <w:abstractNumId w:val="6"/>
  </w:num>
  <w:num w:numId="10" w16cid:durableId="1748645146">
    <w:abstractNumId w:val="11"/>
  </w:num>
  <w:num w:numId="11" w16cid:durableId="2056658643">
    <w:abstractNumId w:val="4"/>
  </w:num>
  <w:num w:numId="12" w16cid:durableId="1868717815">
    <w:abstractNumId w:val="14"/>
  </w:num>
  <w:num w:numId="13" w16cid:durableId="1230387710">
    <w:abstractNumId w:val="1"/>
  </w:num>
  <w:num w:numId="14" w16cid:durableId="804733343">
    <w:abstractNumId w:val="5"/>
  </w:num>
  <w:num w:numId="15" w16cid:durableId="185991835">
    <w:abstractNumId w:val="2"/>
  </w:num>
  <w:num w:numId="16" w16cid:durableId="285550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6E"/>
    <w:rsid w:val="00123056"/>
    <w:rsid w:val="0025746E"/>
    <w:rsid w:val="003245F9"/>
    <w:rsid w:val="006220DA"/>
    <w:rsid w:val="00AD3F21"/>
    <w:rsid w:val="00BB44F2"/>
    <w:rsid w:val="00C412A6"/>
    <w:rsid w:val="00D62D27"/>
    <w:rsid w:val="00FA0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C3B6"/>
  <w15:chartTrackingRefBased/>
  <w15:docId w15:val="{7FB274E1-0945-4D91-8CBE-40B59763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4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4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4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4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4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4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4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4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46E"/>
    <w:rPr>
      <w:rFonts w:eastAsiaTheme="majorEastAsia" w:cstheme="majorBidi"/>
      <w:color w:val="272727" w:themeColor="text1" w:themeTint="D8"/>
    </w:rPr>
  </w:style>
  <w:style w:type="paragraph" w:styleId="Title">
    <w:name w:val="Title"/>
    <w:basedOn w:val="Normal"/>
    <w:next w:val="Normal"/>
    <w:link w:val="TitleChar"/>
    <w:uiPriority w:val="10"/>
    <w:qFormat/>
    <w:rsid w:val="00257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46E"/>
    <w:pPr>
      <w:spacing w:before="160"/>
      <w:jc w:val="center"/>
    </w:pPr>
    <w:rPr>
      <w:i/>
      <w:iCs/>
      <w:color w:val="404040" w:themeColor="text1" w:themeTint="BF"/>
    </w:rPr>
  </w:style>
  <w:style w:type="character" w:customStyle="1" w:styleId="QuoteChar">
    <w:name w:val="Quote Char"/>
    <w:basedOn w:val="DefaultParagraphFont"/>
    <w:link w:val="Quote"/>
    <w:uiPriority w:val="29"/>
    <w:rsid w:val="0025746E"/>
    <w:rPr>
      <w:i/>
      <w:iCs/>
      <w:color w:val="404040" w:themeColor="text1" w:themeTint="BF"/>
    </w:rPr>
  </w:style>
  <w:style w:type="paragraph" w:styleId="ListParagraph">
    <w:name w:val="List Paragraph"/>
    <w:basedOn w:val="Normal"/>
    <w:uiPriority w:val="34"/>
    <w:qFormat/>
    <w:rsid w:val="0025746E"/>
    <w:pPr>
      <w:ind w:left="720"/>
      <w:contextualSpacing/>
    </w:pPr>
  </w:style>
  <w:style w:type="character" w:styleId="IntenseEmphasis">
    <w:name w:val="Intense Emphasis"/>
    <w:basedOn w:val="DefaultParagraphFont"/>
    <w:uiPriority w:val="21"/>
    <w:qFormat/>
    <w:rsid w:val="0025746E"/>
    <w:rPr>
      <w:i/>
      <w:iCs/>
      <w:color w:val="0F4761" w:themeColor="accent1" w:themeShade="BF"/>
    </w:rPr>
  </w:style>
  <w:style w:type="paragraph" w:styleId="IntenseQuote">
    <w:name w:val="Intense Quote"/>
    <w:basedOn w:val="Normal"/>
    <w:next w:val="Normal"/>
    <w:link w:val="IntenseQuoteChar"/>
    <w:uiPriority w:val="30"/>
    <w:qFormat/>
    <w:rsid w:val="00257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46E"/>
    <w:rPr>
      <w:i/>
      <w:iCs/>
      <w:color w:val="0F4761" w:themeColor="accent1" w:themeShade="BF"/>
    </w:rPr>
  </w:style>
  <w:style w:type="character" w:styleId="IntenseReference">
    <w:name w:val="Intense Reference"/>
    <w:basedOn w:val="DefaultParagraphFont"/>
    <w:uiPriority w:val="32"/>
    <w:qFormat/>
    <w:rsid w:val="0025746E"/>
    <w:rPr>
      <w:b/>
      <w:bCs/>
      <w:smallCaps/>
      <w:color w:val="0F4761" w:themeColor="accent1" w:themeShade="BF"/>
      <w:spacing w:val="5"/>
    </w:rPr>
  </w:style>
  <w:style w:type="paragraph" w:styleId="NoSpacing">
    <w:name w:val="No Spacing"/>
    <w:uiPriority w:val="1"/>
    <w:qFormat/>
    <w:rsid w:val="0025746E"/>
    <w:pPr>
      <w:spacing w:after="0" w:line="240" w:lineRule="auto"/>
    </w:pPr>
  </w:style>
  <w:style w:type="table" w:styleId="TableGrid">
    <w:name w:val="Table Grid"/>
    <w:basedOn w:val="TableNormal"/>
    <w:uiPriority w:val="39"/>
    <w:rsid w:val="00622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2883</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Kristie</dc:creator>
  <cp:keywords/>
  <dc:description/>
  <cp:lastModifiedBy>Adams, Kristie</cp:lastModifiedBy>
  <cp:revision>2</cp:revision>
  <dcterms:created xsi:type="dcterms:W3CDTF">2025-07-28T18:37:00Z</dcterms:created>
  <dcterms:modified xsi:type="dcterms:W3CDTF">2025-07-28T18:37:00Z</dcterms:modified>
</cp:coreProperties>
</file>