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5866" w14:textId="77777777" w:rsidR="00A035D4" w:rsidRDefault="00A035D4">
      <w:pPr>
        <w:rPr>
          <w:b/>
          <w:bCs/>
          <w:sz w:val="28"/>
          <w:szCs w:val="28"/>
        </w:rPr>
      </w:pPr>
      <w:r>
        <w:rPr>
          <w:b/>
          <w:bCs/>
          <w:noProof/>
          <w:sz w:val="28"/>
          <w:szCs w:val="28"/>
        </w:rPr>
        <w:drawing>
          <wp:inline distT="0" distB="0" distL="0" distR="0" wp14:anchorId="0AF2A453" wp14:editId="40D24174">
            <wp:extent cx="2773680" cy="353695"/>
            <wp:effectExtent l="0" t="0" r="7620" b="8255"/>
            <wp:docPr id="1825347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80" cy="353695"/>
                    </a:xfrm>
                    <a:prstGeom prst="rect">
                      <a:avLst/>
                    </a:prstGeom>
                    <a:noFill/>
                  </pic:spPr>
                </pic:pic>
              </a:graphicData>
            </a:graphic>
          </wp:inline>
        </w:drawing>
      </w:r>
    </w:p>
    <w:p w14:paraId="5C1FF63A" w14:textId="77777777" w:rsidR="00A035D4" w:rsidRDefault="00A035D4">
      <w:pPr>
        <w:rPr>
          <w:b/>
          <w:bCs/>
          <w:sz w:val="28"/>
          <w:szCs w:val="28"/>
        </w:rPr>
      </w:pPr>
    </w:p>
    <w:p w14:paraId="203FD5C3" w14:textId="77777777" w:rsidR="00A035D4" w:rsidRDefault="00A035D4">
      <w:pPr>
        <w:rPr>
          <w:b/>
          <w:bCs/>
          <w:sz w:val="28"/>
          <w:szCs w:val="28"/>
        </w:rPr>
      </w:pPr>
    </w:p>
    <w:p w14:paraId="118C9926" w14:textId="77777777" w:rsidR="00A035D4" w:rsidRDefault="00A035D4">
      <w:pPr>
        <w:rPr>
          <w:b/>
          <w:bCs/>
          <w:sz w:val="28"/>
          <w:szCs w:val="28"/>
        </w:rPr>
      </w:pPr>
    </w:p>
    <w:p w14:paraId="0B4E2473" w14:textId="77777777" w:rsidR="00F260C3" w:rsidRDefault="00F260C3" w:rsidP="00A035D4">
      <w:pPr>
        <w:autoSpaceDE w:val="0"/>
        <w:autoSpaceDN w:val="0"/>
        <w:adjustRightInd w:val="0"/>
        <w:spacing w:after="0" w:line="240" w:lineRule="auto"/>
        <w:rPr>
          <w:rFonts w:ascii="Aptos" w:eastAsia="Calibri" w:hAnsi="Aptos" w:cs="Times New Roman"/>
          <w:b/>
          <w:kern w:val="0"/>
          <w:sz w:val="60"/>
          <w:szCs w:val="60"/>
          <w14:ligatures w14:val="none"/>
        </w:rPr>
      </w:pPr>
      <w:r>
        <w:rPr>
          <w:rFonts w:ascii="Aptos" w:eastAsia="Calibri" w:hAnsi="Aptos" w:cs="Times New Roman"/>
          <w:b/>
          <w:kern w:val="0"/>
          <w:sz w:val="60"/>
          <w:szCs w:val="60"/>
          <w14:ligatures w14:val="none"/>
        </w:rPr>
        <w:t xml:space="preserve">INSTITUTIONAL </w:t>
      </w:r>
    </w:p>
    <w:p w14:paraId="1E36A0EE" w14:textId="7786D960" w:rsidR="00A035D4" w:rsidRPr="00A035D4" w:rsidRDefault="00A035D4" w:rsidP="00A035D4">
      <w:pPr>
        <w:autoSpaceDE w:val="0"/>
        <w:autoSpaceDN w:val="0"/>
        <w:adjustRightInd w:val="0"/>
        <w:spacing w:after="0" w:line="240" w:lineRule="auto"/>
        <w:rPr>
          <w:rFonts w:ascii="Aptos" w:eastAsia="Calibri" w:hAnsi="Aptos" w:cs="Times New Roman"/>
          <w:b/>
          <w:kern w:val="0"/>
          <w:sz w:val="60"/>
          <w:szCs w:val="60"/>
          <w14:ligatures w14:val="none"/>
        </w:rPr>
      </w:pPr>
      <w:r w:rsidRPr="00A035D4">
        <w:rPr>
          <w:rFonts w:ascii="Aptos" w:eastAsia="Calibri" w:hAnsi="Aptos" w:cs="Times New Roman"/>
          <w:b/>
          <w:kern w:val="0"/>
          <w:sz w:val="60"/>
          <w:szCs w:val="60"/>
          <w14:ligatures w14:val="none"/>
        </w:rPr>
        <w:t>BIOSAFETY MANUAL</w:t>
      </w:r>
    </w:p>
    <w:p w14:paraId="30C89C82" w14:textId="77777777" w:rsidR="00A035D4" w:rsidRPr="00A035D4" w:rsidRDefault="00A035D4" w:rsidP="00A035D4">
      <w:pPr>
        <w:autoSpaceDE w:val="0"/>
        <w:autoSpaceDN w:val="0"/>
        <w:adjustRightInd w:val="0"/>
        <w:spacing w:after="0" w:line="240" w:lineRule="auto"/>
        <w:rPr>
          <w:rFonts w:ascii="Aptos" w:eastAsia="Calibri" w:hAnsi="Aptos" w:cs="Times New Roman"/>
          <w:b/>
          <w:kern w:val="0"/>
          <w:sz w:val="28"/>
          <w:szCs w:val="28"/>
          <w14:ligatures w14:val="none"/>
        </w:rPr>
      </w:pPr>
    </w:p>
    <w:p w14:paraId="1B28FD19" w14:textId="0B64EAD4" w:rsidR="00A035D4" w:rsidRPr="006B205B" w:rsidRDefault="00F260C3" w:rsidP="00A035D4">
      <w:pPr>
        <w:autoSpaceDE w:val="0"/>
        <w:autoSpaceDN w:val="0"/>
        <w:adjustRightInd w:val="0"/>
        <w:spacing w:after="0" w:line="240" w:lineRule="auto"/>
        <w:rPr>
          <w:rFonts w:ascii="Aptos" w:eastAsia="Calibri" w:hAnsi="Aptos" w:cs="Times New Roman"/>
          <w:bCs/>
          <w:kern w:val="0"/>
          <w:sz w:val="52"/>
          <w:szCs w:val="52"/>
          <w14:ligatures w14:val="none"/>
        </w:rPr>
      </w:pPr>
      <w:r>
        <w:rPr>
          <w:rFonts w:ascii="Aptos" w:eastAsia="Calibri" w:hAnsi="Aptos" w:cs="Times New Roman"/>
          <w:bCs/>
          <w:kern w:val="0"/>
          <w:sz w:val="52"/>
          <w:szCs w:val="52"/>
          <w14:ligatures w14:val="none"/>
        </w:rPr>
        <w:t>Jul</w:t>
      </w:r>
      <w:r w:rsidR="00660D4F">
        <w:rPr>
          <w:rFonts w:ascii="Aptos" w:eastAsia="Calibri" w:hAnsi="Aptos" w:cs="Times New Roman"/>
          <w:bCs/>
          <w:kern w:val="0"/>
          <w:sz w:val="52"/>
          <w:szCs w:val="52"/>
          <w14:ligatures w14:val="none"/>
        </w:rPr>
        <w:t>y</w:t>
      </w:r>
      <w:r w:rsidR="00A035D4" w:rsidRPr="006B205B">
        <w:rPr>
          <w:rFonts w:ascii="Aptos" w:eastAsia="Calibri" w:hAnsi="Aptos" w:cs="Times New Roman"/>
          <w:bCs/>
          <w:kern w:val="0"/>
          <w:sz w:val="52"/>
          <w:szCs w:val="52"/>
          <w14:ligatures w14:val="none"/>
        </w:rPr>
        <w:t xml:space="preserve"> 202</w:t>
      </w:r>
      <w:r w:rsidR="00660D4F">
        <w:rPr>
          <w:rFonts w:ascii="Aptos" w:eastAsia="Calibri" w:hAnsi="Aptos" w:cs="Times New Roman"/>
          <w:bCs/>
          <w:kern w:val="0"/>
          <w:sz w:val="52"/>
          <w:szCs w:val="52"/>
          <w14:ligatures w14:val="none"/>
        </w:rPr>
        <w:t>5</w:t>
      </w:r>
    </w:p>
    <w:p w14:paraId="0E8261B5" w14:textId="77777777" w:rsidR="00A035D4" w:rsidRPr="00A035D4" w:rsidRDefault="00A035D4" w:rsidP="00A035D4">
      <w:pPr>
        <w:autoSpaceDE w:val="0"/>
        <w:autoSpaceDN w:val="0"/>
        <w:adjustRightInd w:val="0"/>
        <w:spacing w:after="0" w:line="240" w:lineRule="auto"/>
        <w:rPr>
          <w:rFonts w:ascii="Aptos" w:eastAsia="Calibri" w:hAnsi="Aptos" w:cs="Times New Roman"/>
          <w:kern w:val="0"/>
          <w:sz w:val="52"/>
          <w:szCs w:val="52"/>
          <w14:ligatures w14:val="none"/>
        </w:rPr>
      </w:pPr>
    </w:p>
    <w:p w14:paraId="2F8F6E05" w14:textId="77777777" w:rsidR="00A035D4" w:rsidRPr="00A035D4" w:rsidRDefault="00A035D4" w:rsidP="00A035D4">
      <w:pPr>
        <w:autoSpaceDE w:val="0"/>
        <w:autoSpaceDN w:val="0"/>
        <w:adjustRightInd w:val="0"/>
        <w:spacing w:after="0" w:line="240" w:lineRule="auto"/>
        <w:rPr>
          <w:rFonts w:ascii="Aptos" w:eastAsia="Calibri" w:hAnsi="Aptos" w:cs="Times New Roman"/>
          <w:kern w:val="0"/>
          <w:sz w:val="52"/>
          <w:szCs w:val="52"/>
          <w14:ligatures w14:val="none"/>
        </w:rPr>
      </w:pPr>
    </w:p>
    <w:p w14:paraId="2C7C93B4" w14:textId="77777777" w:rsidR="00A035D4" w:rsidRPr="00A035D4" w:rsidRDefault="00A035D4" w:rsidP="00A035D4">
      <w:pPr>
        <w:autoSpaceDE w:val="0"/>
        <w:autoSpaceDN w:val="0"/>
        <w:adjustRightInd w:val="0"/>
        <w:spacing w:after="0" w:line="240" w:lineRule="auto"/>
        <w:rPr>
          <w:rFonts w:ascii="Aptos" w:eastAsia="Calibri" w:hAnsi="Aptos" w:cs="Times New Roman"/>
          <w:kern w:val="0"/>
          <w:sz w:val="52"/>
          <w:szCs w:val="52"/>
          <w14:ligatures w14:val="none"/>
        </w:rPr>
      </w:pPr>
    </w:p>
    <w:p w14:paraId="423B2AB8" w14:textId="77777777" w:rsidR="00A035D4" w:rsidRPr="00A035D4" w:rsidRDefault="00A035D4" w:rsidP="00A035D4">
      <w:pPr>
        <w:autoSpaceDE w:val="0"/>
        <w:autoSpaceDN w:val="0"/>
        <w:adjustRightInd w:val="0"/>
        <w:spacing w:after="0" w:line="240" w:lineRule="auto"/>
        <w:rPr>
          <w:rFonts w:ascii="Aptos" w:eastAsia="Calibri" w:hAnsi="Aptos" w:cs="Times New Roman"/>
          <w:kern w:val="0"/>
          <w:sz w:val="52"/>
          <w:szCs w:val="52"/>
          <w14:ligatures w14:val="none"/>
        </w:rPr>
      </w:pPr>
    </w:p>
    <w:p w14:paraId="72E2B5E0" w14:textId="77777777" w:rsidR="00A035D4" w:rsidRPr="00A035D4" w:rsidRDefault="00A035D4" w:rsidP="00A035D4">
      <w:pPr>
        <w:autoSpaceDE w:val="0"/>
        <w:autoSpaceDN w:val="0"/>
        <w:adjustRightInd w:val="0"/>
        <w:spacing w:after="0" w:line="240" w:lineRule="auto"/>
        <w:rPr>
          <w:rFonts w:ascii="Aptos" w:eastAsia="Calibri" w:hAnsi="Aptos" w:cs="Times New Roman"/>
          <w:kern w:val="0"/>
          <w:sz w:val="52"/>
          <w:szCs w:val="52"/>
          <w14:ligatures w14:val="none"/>
        </w:rPr>
      </w:pPr>
    </w:p>
    <w:p w14:paraId="7E6834D4" w14:textId="77777777" w:rsidR="00A035D4" w:rsidRPr="00A035D4" w:rsidRDefault="00A035D4" w:rsidP="00A035D4">
      <w:pPr>
        <w:autoSpaceDE w:val="0"/>
        <w:autoSpaceDN w:val="0"/>
        <w:adjustRightInd w:val="0"/>
        <w:spacing w:after="0" w:line="240" w:lineRule="auto"/>
        <w:rPr>
          <w:rFonts w:ascii="Aptos" w:eastAsia="Calibri" w:hAnsi="Aptos" w:cs="Times New Roman"/>
          <w:kern w:val="0"/>
          <w:sz w:val="52"/>
          <w:szCs w:val="52"/>
          <w14:ligatures w14:val="none"/>
        </w:rPr>
      </w:pPr>
    </w:p>
    <w:p w14:paraId="7EBF9CED" w14:textId="77777777" w:rsidR="00A035D4" w:rsidRPr="00A035D4" w:rsidRDefault="00A035D4" w:rsidP="00A035D4">
      <w:pPr>
        <w:autoSpaceDE w:val="0"/>
        <w:autoSpaceDN w:val="0"/>
        <w:adjustRightInd w:val="0"/>
        <w:spacing w:after="0" w:line="240" w:lineRule="auto"/>
        <w:rPr>
          <w:rFonts w:ascii="Aptos" w:eastAsia="Calibri" w:hAnsi="Aptos" w:cs="Times New Roman"/>
          <w:kern w:val="0"/>
          <w:sz w:val="52"/>
          <w:szCs w:val="52"/>
          <w14:ligatures w14:val="none"/>
        </w:rPr>
      </w:pPr>
    </w:p>
    <w:p w14:paraId="17F4304E" w14:textId="77777777" w:rsidR="00A035D4" w:rsidRPr="00A035D4" w:rsidRDefault="00A035D4" w:rsidP="00A035D4">
      <w:pPr>
        <w:spacing w:after="0" w:line="240" w:lineRule="auto"/>
        <w:rPr>
          <w:rFonts w:ascii="Aptos" w:eastAsia="Calibri" w:hAnsi="Aptos" w:cs="Times New Roman"/>
          <w:kern w:val="0"/>
          <w14:ligatures w14:val="none"/>
        </w:rPr>
      </w:pPr>
    </w:p>
    <w:p w14:paraId="0DEDCBB9" w14:textId="77777777" w:rsidR="00A035D4" w:rsidRPr="00A035D4" w:rsidRDefault="00A035D4" w:rsidP="00A035D4">
      <w:pPr>
        <w:spacing w:after="0" w:line="240" w:lineRule="auto"/>
        <w:rPr>
          <w:rFonts w:ascii="Aptos" w:eastAsia="Calibri" w:hAnsi="Aptos" w:cs="Times New Roman"/>
          <w:kern w:val="0"/>
          <w14:ligatures w14:val="none"/>
        </w:rPr>
      </w:pPr>
    </w:p>
    <w:p w14:paraId="76AD3233" w14:textId="77777777" w:rsidR="00A035D4" w:rsidRPr="00A035D4" w:rsidRDefault="00A035D4" w:rsidP="00A035D4">
      <w:pPr>
        <w:spacing w:after="0" w:line="240" w:lineRule="auto"/>
        <w:rPr>
          <w:rFonts w:eastAsia="Calibri" w:cs="Times New Roman"/>
          <w:kern w:val="0"/>
          <w14:ligatures w14:val="none"/>
        </w:rPr>
      </w:pPr>
      <w:r w:rsidRPr="00A035D4">
        <w:rPr>
          <w:rFonts w:eastAsia="Calibri" w:cs="Times New Roman"/>
          <w:kern w:val="0"/>
          <w14:ligatures w14:val="none"/>
        </w:rPr>
        <w:t>Prepared by the University of North Dakota Office of Safety and the Institutional Biosafety Committee:</w:t>
      </w:r>
    </w:p>
    <w:p w14:paraId="6D6BBEFE" w14:textId="77777777" w:rsidR="00A035D4" w:rsidRPr="00A035D4" w:rsidRDefault="00A035D4" w:rsidP="00A035D4">
      <w:pPr>
        <w:spacing w:after="0" w:line="240" w:lineRule="auto"/>
        <w:rPr>
          <w:rFonts w:eastAsia="Calibri" w:cs="Times New Roman"/>
          <w:kern w:val="0"/>
          <w14:ligatures w14:val="none"/>
        </w:rPr>
      </w:pPr>
    </w:p>
    <w:p w14:paraId="598B08D6" w14:textId="42EDFDC2" w:rsidR="00A035D4" w:rsidRPr="00A035D4" w:rsidRDefault="00A035D4" w:rsidP="00A035D4">
      <w:pPr>
        <w:spacing w:after="0" w:line="240" w:lineRule="auto"/>
        <w:rPr>
          <w:rFonts w:eastAsia="Calibri" w:cs="Times New Roman"/>
          <w:kern w:val="0"/>
          <w14:ligatures w14:val="none"/>
        </w:rPr>
      </w:pPr>
      <w:r w:rsidRPr="00A035D4">
        <w:rPr>
          <w:rFonts w:eastAsia="Calibri" w:cs="Times New Roman"/>
          <w:kern w:val="0"/>
          <w14:ligatures w14:val="none"/>
        </w:rPr>
        <w:t>Office of Safety</w:t>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r>
      <w:r w:rsidR="00D46928" w:rsidRPr="00A035D4">
        <w:rPr>
          <w:rFonts w:eastAsia="Calibri" w:cs="Times New Roman"/>
          <w:kern w:val="0"/>
          <w14:ligatures w14:val="none"/>
        </w:rPr>
        <w:t>In</w:t>
      </w:r>
      <w:r w:rsidR="00D46928">
        <w:rPr>
          <w:rFonts w:eastAsia="Calibri" w:cs="Times New Roman"/>
          <w:kern w:val="0"/>
          <w14:ligatures w14:val="none"/>
        </w:rPr>
        <w:t>s</w:t>
      </w:r>
      <w:r w:rsidR="00D46928" w:rsidRPr="00A035D4">
        <w:rPr>
          <w:rFonts w:eastAsia="Calibri" w:cs="Times New Roman"/>
          <w:kern w:val="0"/>
          <w14:ligatures w14:val="none"/>
        </w:rPr>
        <w:t>tit</w:t>
      </w:r>
      <w:r w:rsidR="00D46928">
        <w:rPr>
          <w:rFonts w:eastAsia="Calibri" w:cs="Times New Roman"/>
          <w:kern w:val="0"/>
          <w14:ligatures w14:val="none"/>
        </w:rPr>
        <w:t>u</w:t>
      </w:r>
      <w:r w:rsidR="00D46928" w:rsidRPr="00A035D4">
        <w:rPr>
          <w:rFonts w:eastAsia="Calibri" w:cs="Times New Roman"/>
          <w:kern w:val="0"/>
          <w14:ligatures w14:val="none"/>
        </w:rPr>
        <w:t>tional</w:t>
      </w:r>
      <w:r w:rsidRPr="00A035D4">
        <w:rPr>
          <w:rFonts w:eastAsia="Calibri" w:cs="Times New Roman"/>
          <w:kern w:val="0"/>
          <w14:ligatures w14:val="none"/>
        </w:rPr>
        <w:t xml:space="preserve"> Biosafety Committee (IBC)</w:t>
      </w:r>
    </w:p>
    <w:p w14:paraId="45DEEF9B" w14:textId="77777777" w:rsidR="00A035D4" w:rsidRPr="00A035D4" w:rsidRDefault="00A035D4" w:rsidP="00A035D4">
      <w:pPr>
        <w:spacing w:after="0" w:line="240" w:lineRule="auto"/>
        <w:rPr>
          <w:rFonts w:eastAsia="Calibri" w:cs="Times New Roman"/>
          <w:kern w:val="0"/>
          <w14:ligatures w14:val="none"/>
        </w:rPr>
      </w:pPr>
      <w:r w:rsidRPr="00A035D4">
        <w:rPr>
          <w:rFonts w:eastAsia="Calibri" w:cs="Times New Roman"/>
          <w:kern w:val="0"/>
          <w14:ligatures w14:val="none"/>
        </w:rPr>
        <w:t>Public Safety</w:t>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t>Research Compliance &amp; Ethics</w:t>
      </w:r>
    </w:p>
    <w:p w14:paraId="149ADC70" w14:textId="77777777" w:rsidR="00A035D4" w:rsidRPr="00A035D4" w:rsidRDefault="00A035D4" w:rsidP="00A035D4">
      <w:pPr>
        <w:spacing w:after="0" w:line="240" w:lineRule="auto"/>
        <w:rPr>
          <w:rFonts w:eastAsia="Calibri" w:cs="Times New Roman"/>
          <w:kern w:val="0"/>
          <w14:ligatures w14:val="none"/>
        </w:rPr>
      </w:pPr>
      <w:r w:rsidRPr="00A035D4">
        <w:rPr>
          <w:rFonts w:eastAsia="Calibri" w:cs="Times New Roman"/>
          <w:kern w:val="0"/>
          <w14:ligatures w14:val="none"/>
        </w:rPr>
        <w:t>3851 Campus Road, Stop 9031</w:t>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t>Tech Accelerator Suite 2050</w:t>
      </w:r>
    </w:p>
    <w:p w14:paraId="140760F9" w14:textId="77777777" w:rsidR="00A035D4" w:rsidRPr="00A035D4" w:rsidRDefault="00A035D4" w:rsidP="00A035D4">
      <w:pPr>
        <w:spacing w:after="0" w:line="240" w:lineRule="auto"/>
        <w:rPr>
          <w:rFonts w:eastAsia="Calibri" w:cs="Times New Roman"/>
          <w:kern w:val="0"/>
          <w14:ligatures w14:val="none"/>
        </w:rPr>
      </w:pPr>
      <w:r w:rsidRPr="00A035D4">
        <w:rPr>
          <w:rFonts w:eastAsia="Calibri" w:cs="Times New Roman"/>
          <w:kern w:val="0"/>
          <w14:ligatures w14:val="none"/>
        </w:rPr>
        <w:t>Grand Forks, ND 58202</w:t>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t>4201 James Ray Drive, Stop 7134</w:t>
      </w:r>
    </w:p>
    <w:p w14:paraId="7A1FF157" w14:textId="77777777" w:rsidR="00A035D4" w:rsidRPr="00A035D4" w:rsidRDefault="00A035D4" w:rsidP="00A035D4">
      <w:pPr>
        <w:spacing w:after="0" w:line="240" w:lineRule="auto"/>
        <w:rPr>
          <w:rFonts w:eastAsia="Calibri" w:cs="Times New Roman"/>
          <w:kern w:val="0"/>
          <w14:ligatures w14:val="none"/>
        </w:rPr>
      </w:pPr>
      <w:r w:rsidRPr="00A035D4">
        <w:rPr>
          <w:rFonts w:eastAsia="Calibri" w:cs="Times New Roman"/>
          <w:kern w:val="0"/>
          <w14:ligatures w14:val="none"/>
        </w:rPr>
        <w:t>Phone: 701.777.3341 | Fax 701.777.</w:t>
      </w:r>
      <w:r w:rsidRPr="00A035D4">
        <w:rPr>
          <w:rFonts w:eastAsia="Calibri" w:cs="Times New Roman"/>
          <w:kern w:val="0"/>
          <w14:ligatures w14:val="none"/>
        </w:rPr>
        <w:tab/>
      </w:r>
      <w:r w:rsidRPr="00A035D4">
        <w:rPr>
          <w:rFonts w:eastAsia="Calibri" w:cs="Times New Roman"/>
          <w:kern w:val="0"/>
          <w14:ligatures w14:val="none"/>
        </w:rPr>
        <w:tab/>
        <w:t>Grand Forks, ND 58202</w:t>
      </w:r>
    </w:p>
    <w:p w14:paraId="367AA259" w14:textId="7AD0A002"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hyperlink r:id="rId9" w:history="1">
        <w:r w:rsidRPr="007A4D3C">
          <w:rPr>
            <w:rFonts w:eastAsia="Calibri" w:cs="Times New Roman"/>
            <w:color w:val="215E99" w:themeColor="text2" w:themeTint="BF"/>
            <w:kern w:val="0"/>
            <w:u w:val="single"/>
            <w14:ligatures w14:val="none"/>
          </w:rPr>
          <w:t>UND.safety@UND.edu</w:t>
        </w:r>
      </w:hyperlink>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r>
      <w:r w:rsidRPr="00A035D4">
        <w:rPr>
          <w:rFonts w:eastAsia="Calibri" w:cs="Times New Roman"/>
          <w:kern w:val="0"/>
          <w14:ligatures w14:val="none"/>
        </w:rPr>
        <w:tab/>
      </w:r>
      <w:hyperlink r:id="rId10" w:history="1">
        <w:r w:rsidR="00262DCD" w:rsidRPr="007A4D3C">
          <w:rPr>
            <w:rStyle w:val="Hyperlink"/>
            <w:rFonts w:eastAsia="Calibri" w:cs="Times New Roman"/>
            <w:color w:val="215E99" w:themeColor="text2" w:themeTint="BF"/>
            <w:kern w:val="0"/>
            <w14:ligatures w14:val="none"/>
          </w:rPr>
          <w:t>UND.ibc@UND.edu</w:t>
        </w:r>
      </w:hyperlink>
    </w:p>
    <w:p w14:paraId="30D6F797" w14:textId="4BF85974" w:rsidR="00A035D4" w:rsidRPr="004457E7" w:rsidRDefault="00A035D4">
      <w:pPr>
        <w:rPr>
          <w:b/>
          <w:bCs/>
          <w:sz w:val="28"/>
          <w:szCs w:val="28"/>
        </w:rPr>
      </w:pPr>
      <w:r w:rsidRPr="004457E7">
        <w:rPr>
          <w:b/>
          <w:bCs/>
          <w:sz w:val="28"/>
          <w:szCs w:val="28"/>
        </w:rPr>
        <w:br w:type="page"/>
      </w:r>
    </w:p>
    <w:tbl>
      <w:tblPr>
        <w:tblStyle w:val="TableGrid"/>
        <w:tblW w:w="0" w:type="auto"/>
        <w:tblLook w:val="04A0" w:firstRow="1" w:lastRow="0" w:firstColumn="1" w:lastColumn="0" w:noHBand="0" w:noVBand="1"/>
      </w:tblPr>
      <w:tblGrid>
        <w:gridCol w:w="8877"/>
        <w:gridCol w:w="473"/>
      </w:tblGrid>
      <w:tr w:rsidR="00004670" w14:paraId="6193B4C3" w14:textId="77777777" w:rsidTr="00B94D6F">
        <w:trPr>
          <w:tblHeader/>
        </w:trPr>
        <w:tc>
          <w:tcPr>
            <w:tcW w:w="9350" w:type="dxa"/>
            <w:gridSpan w:val="2"/>
            <w:tcBorders>
              <w:bottom w:val="single" w:sz="4" w:space="0" w:color="auto"/>
            </w:tcBorders>
            <w:shd w:val="clear" w:color="auto" w:fill="59A56D"/>
          </w:tcPr>
          <w:p w14:paraId="4D877B58" w14:textId="61BE1538" w:rsidR="00004670" w:rsidRPr="00004670" w:rsidRDefault="00004670" w:rsidP="00004670">
            <w:pPr>
              <w:jc w:val="center"/>
              <w:rPr>
                <w:rFonts w:eastAsia="Calibri" w:cs="Times New Roman"/>
                <w:b/>
                <w:color w:val="FFFFFF" w:themeColor="background1"/>
                <w:kern w:val="0"/>
                <w:sz w:val="28"/>
                <w:szCs w:val="28"/>
                <w14:ligatures w14:val="none"/>
              </w:rPr>
            </w:pPr>
            <w:r>
              <w:rPr>
                <w:rFonts w:eastAsia="Calibri" w:cs="Times New Roman"/>
                <w:b/>
                <w:color w:val="FFFFFF" w:themeColor="background1"/>
                <w:kern w:val="0"/>
                <w:sz w:val="28"/>
                <w:szCs w:val="28"/>
                <w14:ligatures w14:val="none"/>
              </w:rPr>
              <w:lastRenderedPageBreak/>
              <w:t>TABLE OF CONTENTS</w:t>
            </w:r>
          </w:p>
        </w:tc>
      </w:tr>
      <w:bookmarkStart w:id="0" w:name="UNDEmergencyPhoneNumbers"/>
      <w:tr w:rsidR="00004670" w14:paraId="2FC50FC7" w14:textId="77777777" w:rsidTr="003A4E53">
        <w:tc>
          <w:tcPr>
            <w:tcW w:w="8877" w:type="dxa"/>
            <w:tcBorders>
              <w:top w:val="single" w:sz="4" w:space="0" w:color="auto"/>
              <w:left w:val="nil"/>
              <w:bottom w:val="nil"/>
              <w:right w:val="nil"/>
            </w:tcBorders>
          </w:tcPr>
          <w:p w14:paraId="7A8A843D" w14:textId="2DB7E791" w:rsidR="00004670" w:rsidRPr="002E5E4F" w:rsidRDefault="00004670">
            <w:pPr>
              <w:rPr>
                <w:rFonts w:eastAsia="Calibri" w:cs="Times New Roman"/>
                <w:bCs/>
                <w:color w:val="000000" w:themeColor="text1"/>
                <w:kern w:val="0"/>
                <w14:ligatures w14:val="none"/>
              </w:rPr>
            </w:pPr>
            <w:r>
              <w:fldChar w:fldCharType="begin"/>
            </w:r>
            <w:r>
              <w:instrText>HYPERLINK \l "UNDEmergencyPhoneNumbers"</w:instrText>
            </w:r>
            <w:r>
              <w:fldChar w:fldCharType="separate"/>
            </w:r>
            <w:r w:rsidRPr="002E5E4F">
              <w:rPr>
                <w:rStyle w:val="Hyperlink"/>
                <w:rFonts w:eastAsia="Calibri" w:cs="Times New Roman"/>
                <w:bCs/>
                <w:color w:val="000000" w:themeColor="text1"/>
                <w:kern w:val="0"/>
                <w:u w:val="none"/>
                <w14:ligatures w14:val="none"/>
              </w:rPr>
              <w:t>Emergency Contacts</w:t>
            </w:r>
            <w:r>
              <w:fldChar w:fldCharType="end"/>
            </w:r>
            <w:bookmarkEnd w:id="0"/>
            <w:r w:rsidR="00B94D6F" w:rsidRPr="002E5E4F">
              <w:rPr>
                <w:rFonts w:eastAsia="Calibri" w:cs="Times New Roman"/>
                <w:bCs/>
                <w:color w:val="000000" w:themeColor="text1"/>
                <w:kern w:val="0"/>
                <w14:ligatures w14:val="none"/>
              </w:rPr>
              <w:t>………………………………………………………………………………………</w:t>
            </w:r>
          </w:p>
        </w:tc>
        <w:tc>
          <w:tcPr>
            <w:tcW w:w="473" w:type="dxa"/>
            <w:tcBorders>
              <w:top w:val="single" w:sz="4" w:space="0" w:color="auto"/>
              <w:left w:val="nil"/>
              <w:bottom w:val="nil"/>
              <w:right w:val="nil"/>
            </w:tcBorders>
          </w:tcPr>
          <w:p w14:paraId="2F000B7A" w14:textId="5FA76C28" w:rsidR="00004670" w:rsidRPr="00004670" w:rsidRDefault="00EF3FC5" w:rsidP="0050730A">
            <w:pPr>
              <w:jc w:val="center"/>
              <w:rPr>
                <w:rFonts w:eastAsia="Calibri" w:cs="Times New Roman"/>
                <w:bCs/>
                <w:kern w:val="0"/>
                <w14:ligatures w14:val="none"/>
              </w:rPr>
            </w:pPr>
            <w:r>
              <w:rPr>
                <w:rFonts w:eastAsia="Calibri" w:cs="Times New Roman"/>
                <w:bCs/>
                <w:kern w:val="0"/>
                <w14:ligatures w14:val="none"/>
              </w:rPr>
              <w:t>4</w:t>
            </w:r>
          </w:p>
        </w:tc>
      </w:tr>
      <w:bookmarkStart w:id="1" w:name="S1Introduction"/>
      <w:tr w:rsidR="00004670" w14:paraId="0A913A5D" w14:textId="77777777" w:rsidTr="003A4E53">
        <w:tc>
          <w:tcPr>
            <w:tcW w:w="8877" w:type="dxa"/>
            <w:tcBorders>
              <w:top w:val="nil"/>
              <w:left w:val="nil"/>
              <w:bottom w:val="nil"/>
              <w:right w:val="nil"/>
            </w:tcBorders>
          </w:tcPr>
          <w:p w14:paraId="35FB1192" w14:textId="42BC62D2" w:rsidR="00004670" w:rsidRPr="002E5E4F" w:rsidRDefault="00004670" w:rsidP="00004670">
            <w:pPr>
              <w:rPr>
                <w:rFonts w:eastAsia="Calibri" w:cs="Times New Roman"/>
                <w:bCs/>
                <w:color w:val="000000" w:themeColor="text1"/>
                <w:kern w:val="0"/>
                <w14:ligatures w14:val="none"/>
              </w:rPr>
            </w:pPr>
            <w:r>
              <w:fldChar w:fldCharType="begin"/>
            </w:r>
            <w:r>
              <w:instrText>HYPERLINK \l "S1Introduction"</w:instrText>
            </w:r>
            <w:r>
              <w:fldChar w:fldCharType="separate"/>
            </w:r>
            <w:r w:rsidRPr="002E5E4F">
              <w:rPr>
                <w:rStyle w:val="Hyperlink"/>
                <w:rFonts w:eastAsia="Calibri" w:cs="Times New Roman"/>
                <w:bCs/>
                <w:color w:val="000000" w:themeColor="text1"/>
                <w:kern w:val="0"/>
                <w:u w:val="none"/>
                <w14:ligatures w14:val="none"/>
              </w:rPr>
              <w:t>Section 1: Introduction</w:t>
            </w:r>
            <w:r>
              <w:fldChar w:fldCharType="end"/>
            </w:r>
            <w:bookmarkEnd w:id="1"/>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BDDE46E" w14:textId="73A8A57D" w:rsidR="00004670" w:rsidRPr="00004670" w:rsidRDefault="0050730A" w:rsidP="0050730A">
            <w:pPr>
              <w:jc w:val="center"/>
              <w:rPr>
                <w:rFonts w:eastAsia="Calibri" w:cs="Times New Roman"/>
                <w:bCs/>
                <w:kern w:val="0"/>
                <w14:ligatures w14:val="none"/>
              </w:rPr>
            </w:pPr>
            <w:r>
              <w:rPr>
                <w:rFonts w:eastAsia="Calibri" w:cs="Times New Roman"/>
                <w:bCs/>
                <w:kern w:val="0"/>
                <w14:ligatures w14:val="none"/>
              </w:rPr>
              <w:t>5</w:t>
            </w:r>
          </w:p>
        </w:tc>
      </w:tr>
      <w:bookmarkStart w:id="2" w:name="S2CultureofSafety"/>
      <w:tr w:rsidR="00004670" w14:paraId="5C83716A" w14:textId="77777777" w:rsidTr="003A4E53">
        <w:tc>
          <w:tcPr>
            <w:tcW w:w="8877" w:type="dxa"/>
            <w:tcBorders>
              <w:top w:val="nil"/>
              <w:left w:val="nil"/>
              <w:bottom w:val="nil"/>
              <w:right w:val="nil"/>
            </w:tcBorders>
          </w:tcPr>
          <w:p w14:paraId="0078B291" w14:textId="4C303458" w:rsidR="00004670" w:rsidRPr="002E5E4F" w:rsidRDefault="00004670" w:rsidP="00004670">
            <w:pPr>
              <w:rPr>
                <w:rFonts w:eastAsia="Calibri" w:cs="Times New Roman"/>
                <w:bCs/>
                <w:color w:val="000000" w:themeColor="text1"/>
                <w:kern w:val="0"/>
                <w14:ligatures w14:val="none"/>
              </w:rPr>
            </w:pPr>
            <w:r>
              <w:fldChar w:fldCharType="begin"/>
            </w:r>
            <w:r>
              <w:instrText>HYPERLINK \l "S2CultureofSafety"</w:instrText>
            </w:r>
            <w:r>
              <w:fldChar w:fldCharType="separate"/>
            </w:r>
            <w:r w:rsidRPr="002E5E4F">
              <w:rPr>
                <w:rStyle w:val="Hyperlink"/>
                <w:rFonts w:eastAsia="Calibri" w:cs="Times New Roman"/>
                <w:bCs/>
                <w:color w:val="000000" w:themeColor="text1"/>
                <w:kern w:val="0"/>
                <w:u w:val="none"/>
                <w14:ligatures w14:val="none"/>
              </w:rPr>
              <w:t>Section 2: Culture of Safety</w:t>
            </w:r>
            <w:r>
              <w:fldChar w:fldCharType="end"/>
            </w:r>
            <w:bookmarkEnd w:id="2"/>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316721AB" w14:textId="5FCFB5DE" w:rsidR="00004670" w:rsidRPr="00004670" w:rsidRDefault="0050730A" w:rsidP="0050730A">
            <w:pPr>
              <w:jc w:val="center"/>
              <w:rPr>
                <w:rFonts w:eastAsia="Calibri" w:cs="Times New Roman"/>
                <w:bCs/>
                <w:kern w:val="0"/>
                <w14:ligatures w14:val="none"/>
              </w:rPr>
            </w:pPr>
            <w:r>
              <w:rPr>
                <w:rFonts w:eastAsia="Calibri" w:cs="Times New Roman"/>
                <w:bCs/>
                <w:kern w:val="0"/>
                <w14:ligatures w14:val="none"/>
              </w:rPr>
              <w:t>7</w:t>
            </w:r>
          </w:p>
        </w:tc>
      </w:tr>
      <w:tr w:rsidR="00E1193A" w14:paraId="15CE6949" w14:textId="77777777" w:rsidTr="003A4E53">
        <w:tc>
          <w:tcPr>
            <w:tcW w:w="8877" w:type="dxa"/>
            <w:tcBorders>
              <w:top w:val="nil"/>
              <w:left w:val="nil"/>
              <w:bottom w:val="nil"/>
              <w:right w:val="nil"/>
            </w:tcBorders>
          </w:tcPr>
          <w:p w14:paraId="19588B23" w14:textId="59AF46E3" w:rsidR="00E1193A" w:rsidRPr="002E5E4F" w:rsidRDefault="00E1193A" w:rsidP="00E1193A">
            <w:pPr>
              <w:pStyle w:val="ListParagraph"/>
              <w:numPr>
                <w:ilvl w:val="0"/>
                <w:numId w:val="91"/>
              </w:numPr>
              <w:rPr>
                <w:rFonts w:eastAsia="Calibri" w:cs="Times New Roman"/>
                <w:bCs/>
                <w:color w:val="000000" w:themeColor="text1"/>
                <w:kern w:val="0"/>
                <w14:ligatures w14:val="none"/>
              </w:rPr>
            </w:pPr>
            <w:hyperlink w:anchor="WhatisSafetyCulture" w:history="1">
              <w:r w:rsidRPr="002E5E4F">
                <w:rPr>
                  <w:rStyle w:val="Hyperlink"/>
                  <w:rFonts w:eastAsia="Calibri" w:cs="Times New Roman"/>
                  <w:bCs/>
                  <w:color w:val="000000" w:themeColor="text1"/>
                  <w:kern w:val="0"/>
                  <w:u w:val="none"/>
                  <w14:ligatures w14:val="none"/>
                </w:rPr>
                <w:t>What is Safety Culture?</w:t>
              </w:r>
              <w:r w:rsidR="00B94D6F" w:rsidRPr="002E5E4F">
                <w:rPr>
                  <w:rStyle w:val="Hyperlink"/>
                  <w:rFonts w:eastAsia="Calibri" w:cs="Times New Roman"/>
                  <w:bCs/>
                  <w:color w:val="000000" w:themeColor="text1"/>
                  <w:kern w:val="0"/>
                  <w:u w:val="none"/>
                  <w14:ligatures w14:val="none"/>
                </w:rPr>
                <w:t>................................................................................</w:t>
              </w:r>
            </w:hyperlink>
          </w:p>
        </w:tc>
        <w:tc>
          <w:tcPr>
            <w:tcW w:w="473" w:type="dxa"/>
            <w:tcBorders>
              <w:top w:val="nil"/>
              <w:left w:val="nil"/>
              <w:bottom w:val="nil"/>
              <w:right w:val="nil"/>
            </w:tcBorders>
          </w:tcPr>
          <w:p w14:paraId="74DE78D5" w14:textId="3C95F473" w:rsidR="00E1193A" w:rsidRPr="00004670" w:rsidRDefault="0050730A" w:rsidP="0050730A">
            <w:pPr>
              <w:jc w:val="center"/>
              <w:rPr>
                <w:rFonts w:eastAsia="Calibri" w:cs="Times New Roman"/>
                <w:bCs/>
                <w:kern w:val="0"/>
                <w14:ligatures w14:val="none"/>
              </w:rPr>
            </w:pPr>
            <w:r>
              <w:rPr>
                <w:rFonts w:eastAsia="Calibri" w:cs="Times New Roman"/>
                <w:bCs/>
                <w:kern w:val="0"/>
                <w14:ligatures w14:val="none"/>
              </w:rPr>
              <w:t>7</w:t>
            </w:r>
          </w:p>
        </w:tc>
      </w:tr>
      <w:tr w:rsidR="00E1193A" w14:paraId="363D75C9" w14:textId="77777777" w:rsidTr="003A4E53">
        <w:tc>
          <w:tcPr>
            <w:tcW w:w="8877" w:type="dxa"/>
            <w:tcBorders>
              <w:top w:val="nil"/>
              <w:left w:val="nil"/>
              <w:bottom w:val="nil"/>
              <w:right w:val="nil"/>
            </w:tcBorders>
          </w:tcPr>
          <w:p w14:paraId="042F3E58" w14:textId="6D897AC2" w:rsidR="00E1193A" w:rsidRPr="002E5E4F" w:rsidRDefault="00E1193A" w:rsidP="00E1193A">
            <w:pPr>
              <w:pStyle w:val="ListParagraph"/>
              <w:numPr>
                <w:ilvl w:val="0"/>
                <w:numId w:val="91"/>
              </w:numPr>
              <w:rPr>
                <w:rFonts w:eastAsia="Calibri" w:cs="Times New Roman"/>
                <w:bCs/>
                <w:color w:val="000000" w:themeColor="text1"/>
                <w:kern w:val="0"/>
                <w14:ligatures w14:val="none"/>
              </w:rPr>
            </w:pPr>
            <w:hyperlink w:anchor="ResearchSafetyExpectations" w:history="1">
              <w:r w:rsidRPr="002E5E4F">
                <w:rPr>
                  <w:rStyle w:val="Hyperlink"/>
                  <w:rFonts w:eastAsia="Calibri" w:cs="Times New Roman"/>
                  <w:bCs/>
                  <w:color w:val="000000" w:themeColor="text1"/>
                  <w:kern w:val="0"/>
                  <w:u w:val="none"/>
                  <w14:ligatures w14:val="none"/>
                </w:rPr>
                <w:t>Research Safety Expectations</w:t>
              </w:r>
              <w:r w:rsidR="00B94D6F" w:rsidRPr="002E5E4F">
                <w:rPr>
                  <w:rStyle w:val="Hyperlink"/>
                  <w:rFonts w:eastAsia="Calibri" w:cs="Times New Roman"/>
                  <w:bCs/>
                  <w:color w:val="000000" w:themeColor="text1"/>
                  <w:kern w:val="0"/>
                  <w:u w:val="none"/>
                  <w14:ligatures w14:val="none"/>
                </w:rPr>
                <w:t>……………………………………………………………</w:t>
              </w:r>
              <w:r w:rsidR="007A4D3C" w:rsidRPr="002E5E4F">
                <w:rPr>
                  <w:rStyle w:val="Hyperlink"/>
                  <w:rFonts w:eastAsia="Calibri" w:cs="Times New Roman"/>
                  <w:bCs/>
                  <w:color w:val="000000" w:themeColor="text1"/>
                  <w:kern w:val="0"/>
                  <w:u w:val="none"/>
                  <w14:ligatures w14:val="none"/>
                </w:rPr>
                <w:t>….</w:t>
              </w:r>
            </w:hyperlink>
            <w:r w:rsidR="007A4D3C">
              <w:t>.</w:t>
            </w:r>
          </w:p>
        </w:tc>
        <w:tc>
          <w:tcPr>
            <w:tcW w:w="473" w:type="dxa"/>
            <w:tcBorders>
              <w:top w:val="nil"/>
              <w:left w:val="nil"/>
              <w:bottom w:val="nil"/>
              <w:right w:val="nil"/>
            </w:tcBorders>
          </w:tcPr>
          <w:p w14:paraId="237763D4" w14:textId="05F5AA61" w:rsidR="00E1193A" w:rsidRPr="00004670" w:rsidRDefault="0050730A" w:rsidP="0050730A">
            <w:pPr>
              <w:jc w:val="center"/>
              <w:rPr>
                <w:rFonts w:eastAsia="Calibri" w:cs="Times New Roman"/>
                <w:bCs/>
                <w:kern w:val="0"/>
                <w14:ligatures w14:val="none"/>
              </w:rPr>
            </w:pPr>
            <w:r>
              <w:rPr>
                <w:rFonts w:eastAsia="Calibri" w:cs="Times New Roman"/>
                <w:bCs/>
                <w:kern w:val="0"/>
                <w14:ligatures w14:val="none"/>
              </w:rPr>
              <w:t>7</w:t>
            </w:r>
          </w:p>
        </w:tc>
      </w:tr>
      <w:tr w:rsidR="00E1193A" w14:paraId="279512B0" w14:textId="77777777" w:rsidTr="003A4E53">
        <w:tc>
          <w:tcPr>
            <w:tcW w:w="8877" w:type="dxa"/>
            <w:tcBorders>
              <w:top w:val="nil"/>
              <w:left w:val="nil"/>
              <w:bottom w:val="nil"/>
              <w:right w:val="nil"/>
            </w:tcBorders>
          </w:tcPr>
          <w:p w14:paraId="465F2A2B" w14:textId="3318BF4C" w:rsidR="00E1193A" w:rsidRPr="002E5E4F" w:rsidRDefault="00E1193A" w:rsidP="00E1193A">
            <w:pPr>
              <w:pStyle w:val="ListParagraph"/>
              <w:numPr>
                <w:ilvl w:val="0"/>
                <w:numId w:val="91"/>
              </w:numPr>
              <w:rPr>
                <w:rFonts w:eastAsia="Calibri" w:cs="Times New Roman"/>
                <w:bCs/>
                <w:color w:val="000000" w:themeColor="text1"/>
                <w:kern w:val="0"/>
                <w14:ligatures w14:val="none"/>
              </w:rPr>
            </w:pPr>
            <w:hyperlink w:anchor="RiskAssessment" w:history="1">
              <w:r w:rsidRPr="002E5E4F">
                <w:rPr>
                  <w:rStyle w:val="Hyperlink"/>
                  <w:rFonts w:eastAsia="Calibri" w:cs="Times New Roman"/>
                  <w:bCs/>
                  <w:color w:val="000000" w:themeColor="text1"/>
                  <w:kern w:val="0"/>
                  <w:u w:val="none"/>
                  <w14:ligatures w14:val="none"/>
                </w:rPr>
                <w:t>Risk Assessment</w:t>
              </w:r>
              <w:r w:rsidR="00B94D6F" w:rsidRPr="002E5E4F">
                <w:rPr>
                  <w:rStyle w:val="Hyperlink"/>
                  <w:rFonts w:eastAsia="Calibri" w:cs="Times New Roman"/>
                  <w:bCs/>
                  <w:color w:val="000000" w:themeColor="text1"/>
                  <w:kern w:val="0"/>
                  <w:u w:val="none"/>
                  <w14:ligatures w14:val="none"/>
                </w:rPr>
                <w:t>………………………………………………………………………………….</w:t>
              </w:r>
            </w:hyperlink>
          </w:p>
        </w:tc>
        <w:tc>
          <w:tcPr>
            <w:tcW w:w="473" w:type="dxa"/>
            <w:tcBorders>
              <w:top w:val="nil"/>
              <w:left w:val="nil"/>
              <w:bottom w:val="nil"/>
              <w:right w:val="nil"/>
            </w:tcBorders>
          </w:tcPr>
          <w:p w14:paraId="4BE1916E" w14:textId="27A87DFA" w:rsidR="00E1193A" w:rsidRPr="00004670" w:rsidRDefault="0050730A" w:rsidP="0050730A">
            <w:pPr>
              <w:jc w:val="center"/>
              <w:rPr>
                <w:rFonts w:eastAsia="Calibri" w:cs="Times New Roman"/>
                <w:bCs/>
                <w:kern w:val="0"/>
                <w14:ligatures w14:val="none"/>
              </w:rPr>
            </w:pPr>
            <w:r>
              <w:rPr>
                <w:rFonts w:eastAsia="Calibri" w:cs="Times New Roman"/>
                <w:bCs/>
                <w:kern w:val="0"/>
                <w14:ligatures w14:val="none"/>
              </w:rPr>
              <w:t>9</w:t>
            </w:r>
          </w:p>
        </w:tc>
      </w:tr>
      <w:tr w:rsidR="00E1193A" w14:paraId="7EC4BF47" w14:textId="77777777" w:rsidTr="003A4E53">
        <w:tc>
          <w:tcPr>
            <w:tcW w:w="8877" w:type="dxa"/>
            <w:tcBorders>
              <w:top w:val="nil"/>
              <w:left w:val="nil"/>
              <w:bottom w:val="nil"/>
              <w:right w:val="nil"/>
            </w:tcBorders>
          </w:tcPr>
          <w:p w14:paraId="26ABF5CB" w14:textId="47F876C2" w:rsidR="00E1193A" w:rsidRPr="002E5E4F" w:rsidRDefault="00E1193A" w:rsidP="00E1193A">
            <w:pPr>
              <w:pStyle w:val="ListParagraph"/>
              <w:numPr>
                <w:ilvl w:val="0"/>
                <w:numId w:val="91"/>
              </w:numPr>
              <w:rPr>
                <w:rFonts w:eastAsia="Calibri" w:cs="Times New Roman"/>
                <w:bCs/>
                <w:color w:val="000000" w:themeColor="text1"/>
                <w:kern w:val="0"/>
                <w14:ligatures w14:val="none"/>
              </w:rPr>
            </w:pPr>
            <w:hyperlink w:anchor="SafetyCultureandBiosafety" w:history="1">
              <w:r w:rsidRPr="002E5E4F">
                <w:rPr>
                  <w:rStyle w:val="Hyperlink"/>
                  <w:rFonts w:eastAsia="Calibri" w:cs="Times New Roman"/>
                  <w:bCs/>
                  <w:color w:val="000000" w:themeColor="text1"/>
                  <w:kern w:val="0"/>
                  <w:u w:val="none"/>
                  <w14:ligatures w14:val="none"/>
                </w:rPr>
                <w:t>Safety Culture and Biosafety</w:t>
              </w:r>
              <w:r w:rsidR="00B94D6F" w:rsidRPr="002E5E4F">
                <w:rPr>
                  <w:rStyle w:val="Hyperlink"/>
                  <w:rFonts w:eastAsia="Calibri" w:cs="Times New Roman"/>
                  <w:bCs/>
                  <w:color w:val="000000" w:themeColor="text1"/>
                  <w:kern w:val="0"/>
                  <w:u w:val="none"/>
                  <w14:ligatures w14:val="none"/>
                </w:rPr>
                <w:t>………………………………………………………………….</w:t>
              </w:r>
            </w:hyperlink>
          </w:p>
        </w:tc>
        <w:tc>
          <w:tcPr>
            <w:tcW w:w="473" w:type="dxa"/>
            <w:tcBorders>
              <w:top w:val="nil"/>
              <w:left w:val="nil"/>
              <w:bottom w:val="nil"/>
              <w:right w:val="nil"/>
            </w:tcBorders>
          </w:tcPr>
          <w:p w14:paraId="2E013115" w14:textId="7CD8E3CF" w:rsidR="00E1193A" w:rsidRPr="00004670" w:rsidRDefault="0050730A" w:rsidP="0050730A">
            <w:pPr>
              <w:jc w:val="center"/>
              <w:rPr>
                <w:rFonts w:eastAsia="Calibri" w:cs="Times New Roman"/>
                <w:bCs/>
                <w:kern w:val="0"/>
                <w14:ligatures w14:val="none"/>
              </w:rPr>
            </w:pPr>
            <w:r>
              <w:rPr>
                <w:rFonts w:eastAsia="Calibri" w:cs="Times New Roman"/>
                <w:bCs/>
                <w:kern w:val="0"/>
                <w14:ligatures w14:val="none"/>
              </w:rPr>
              <w:t>10</w:t>
            </w:r>
          </w:p>
        </w:tc>
      </w:tr>
      <w:tr w:rsidR="00004670" w14:paraId="19989DAF" w14:textId="77777777" w:rsidTr="003A4E53">
        <w:tc>
          <w:tcPr>
            <w:tcW w:w="8877" w:type="dxa"/>
            <w:tcBorders>
              <w:top w:val="nil"/>
              <w:left w:val="nil"/>
              <w:bottom w:val="nil"/>
              <w:right w:val="nil"/>
            </w:tcBorders>
          </w:tcPr>
          <w:p w14:paraId="39A2E21D" w14:textId="0B9CBD49" w:rsidR="00004670" w:rsidRPr="002E5E4F" w:rsidRDefault="00004670" w:rsidP="00004670">
            <w:pPr>
              <w:rPr>
                <w:rFonts w:eastAsia="Calibri" w:cs="Times New Roman"/>
                <w:bCs/>
                <w:color w:val="000000" w:themeColor="text1"/>
                <w:kern w:val="0"/>
                <w14:ligatures w14:val="none"/>
              </w:rPr>
            </w:pPr>
            <w:hyperlink w:anchor="S3ProgramManagement" w:history="1">
              <w:r w:rsidRPr="002E5E4F">
                <w:rPr>
                  <w:rStyle w:val="Hyperlink"/>
                  <w:rFonts w:eastAsia="Calibri" w:cs="Times New Roman"/>
                  <w:bCs/>
                  <w:color w:val="000000" w:themeColor="text1"/>
                  <w:kern w:val="0"/>
                  <w:u w:val="none"/>
                  <w14:ligatures w14:val="none"/>
                </w:rPr>
                <w:t>Section 3: Program Management</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38C9323A" w14:textId="75184164" w:rsidR="00004670" w:rsidRPr="00004670" w:rsidRDefault="0050730A" w:rsidP="0050730A">
            <w:pPr>
              <w:jc w:val="center"/>
              <w:rPr>
                <w:rFonts w:eastAsia="Calibri" w:cs="Times New Roman"/>
                <w:bCs/>
                <w:kern w:val="0"/>
                <w14:ligatures w14:val="none"/>
              </w:rPr>
            </w:pPr>
            <w:r>
              <w:rPr>
                <w:rFonts w:eastAsia="Calibri" w:cs="Times New Roman"/>
                <w:bCs/>
                <w:kern w:val="0"/>
                <w14:ligatures w14:val="none"/>
              </w:rPr>
              <w:t>12</w:t>
            </w:r>
          </w:p>
        </w:tc>
      </w:tr>
      <w:tr w:rsidR="00E1193A" w14:paraId="3ACFB4E2" w14:textId="77777777" w:rsidTr="003A4E53">
        <w:tc>
          <w:tcPr>
            <w:tcW w:w="8877" w:type="dxa"/>
            <w:tcBorders>
              <w:top w:val="nil"/>
              <w:left w:val="nil"/>
              <w:bottom w:val="nil"/>
              <w:right w:val="nil"/>
            </w:tcBorders>
          </w:tcPr>
          <w:p w14:paraId="5D1259D8" w14:textId="3EB5C98D" w:rsidR="00E1193A" w:rsidRPr="002E5E4F" w:rsidRDefault="00E1193A" w:rsidP="00E1193A">
            <w:pPr>
              <w:pStyle w:val="ListParagraph"/>
              <w:numPr>
                <w:ilvl w:val="0"/>
                <w:numId w:val="90"/>
              </w:numPr>
              <w:rPr>
                <w:rFonts w:eastAsia="Calibri" w:cs="Times New Roman"/>
                <w:bCs/>
                <w:color w:val="000000" w:themeColor="text1"/>
                <w:kern w:val="0"/>
                <w14:ligatures w14:val="none"/>
              </w:rPr>
            </w:pPr>
            <w:hyperlink w:anchor="RolesandResponsibilities" w:history="1">
              <w:r w:rsidRPr="002E5E4F">
                <w:rPr>
                  <w:rStyle w:val="Hyperlink"/>
                  <w:rFonts w:eastAsia="Calibri" w:cs="Times New Roman"/>
                  <w:bCs/>
                  <w:color w:val="000000" w:themeColor="text1"/>
                  <w:kern w:val="0"/>
                  <w:u w:val="none"/>
                  <w14:ligatures w14:val="none"/>
                </w:rPr>
                <w:t>Roles and Responsibilities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240DA716" w14:textId="73EF5A63" w:rsidR="00E1193A" w:rsidRPr="00004670" w:rsidRDefault="0050730A" w:rsidP="0050730A">
            <w:pPr>
              <w:jc w:val="center"/>
              <w:rPr>
                <w:rFonts w:eastAsia="Calibri" w:cs="Times New Roman"/>
                <w:bCs/>
                <w:kern w:val="0"/>
                <w14:ligatures w14:val="none"/>
              </w:rPr>
            </w:pPr>
            <w:r>
              <w:rPr>
                <w:rFonts w:eastAsia="Calibri" w:cs="Times New Roman"/>
                <w:bCs/>
                <w:kern w:val="0"/>
                <w14:ligatures w14:val="none"/>
              </w:rPr>
              <w:t>12</w:t>
            </w:r>
          </w:p>
        </w:tc>
      </w:tr>
      <w:tr w:rsidR="00E1193A" w14:paraId="29388370" w14:textId="77777777" w:rsidTr="003A4E53">
        <w:tc>
          <w:tcPr>
            <w:tcW w:w="8877" w:type="dxa"/>
            <w:tcBorders>
              <w:top w:val="nil"/>
              <w:left w:val="nil"/>
              <w:bottom w:val="nil"/>
              <w:right w:val="nil"/>
            </w:tcBorders>
          </w:tcPr>
          <w:p w14:paraId="15C9B2F6" w14:textId="16D4A73C" w:rsidR="00E1193A" w:rsidRPr="002E5E4F" w:rsidRDefault="00E1193A" w:rsidP="00E1193A">
            <w:pPr>
              <w:pStyle w:val="ListParagraph"/>
              <w:numPr>
                <w:ilvl w:val="0"/>
                <w:numId w:val="90"/>
              </w:numPr>
              <w:rPr>
                <w:rFonts w:eastAsia="Calibri" w:cs="Times New Roman"/>
                <w:bCs/>
                <w:color w:val="000000" w:themeColor="text1"/>
                <w:kern w:val="0"/>
                <w14:ligatures w14:val="none"/>
              </w:rPr>
            </w:pPr>
            <w:hyperlink w:anchor="RulesRegulationsandGuidelines" w:history="1">
              <w:r w:rsidRPr="002E5E4F">
                <w:rPr>
                  <w:rStyle w:val="Hyperlink"/>
                  <w:rFonts w:eastAsia="Calibri" w:cs="Times New Roman"/>
                  <w:bCs/>
                  <w:color w:val="000000" w:themeColor="text1"/>
                  <w:kern w:val="0"/>
                  <w:u w:val="none"/>
                  <w14:ligatures w14:val="none"/>
                </w:rPr>
                <w:t>Rules, Regulations, and Guidelines</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5E33A17" w14:textId="7781D4E1" w:rsidR="00E1193A" w:rsidRPr="00004670" w:rsidRDefault="0050730A" w:rsidP="0050730A">
            <w:pPr>
              <w:jc w:val="center"/>
              <w:rPr>
                <w:rFonts w:eastAsia="Calibri" w:cs="Times New Roman"/>
                <w:bCs/>
                <w:kern w:val="0"/>
                <w14:ligatures w14:val="none"/>
              </w:rPr>
            </w:pPr>
            <w:r>
              <w:rPr>
                <w:rFonts w:eastAsia="Calibri" w:cs="Times New Roman"/>
                <w:bCs/>
                <w:kern w:val="0"/>
                <w14:ligatures w14:val="none"/>
              </w:rPr>
              <w:t>16</w:t>
            </w:r>
          </w:p>
        </w:tc>
      </w:tr>
      <w:tr w:rsidR="00E1193A" w14:paraId="0EC89994" w14:textId="77777777" w:rsidTr="003A4E53">
        <w:tc>
          <w:tcPr>
            <w:tcW w:w="8877" w:type="dxa"/>
            <w:tcBorders>
              <w:top w:val="nil"/>
              <w:left w:val="nil"/>
              <w:bottom w:val="nil"/>
              <w:right w:val="nil"/>
            </w:tcBorders>
          </w:tcPr>
          <w:p w14:paraId="103BD781" w14:textId="3CF2CA26" w:rsidR="00E1193A" w:rsidRPr="002E5E4F" w:rsidRDefault="00E1193A" w:rsidP="00E1193A">
            <w:pPr>
              <w:pStyle w:val="ListParagraph"/>
              <w:numPr>
                <w:ilvl w:val="0"/>
                <w:numId w:val="90"/>
              </w:numPr>
              <w:rPr>
                <w:rFonts w:eastAsia="Calibri" w:cs="Times New Roman"/>
                <w:bCs/>
                <w:color w:val="000000" w:themeColor="text1"/>
                <w:kern w:val="0"/>
                <w14:ligatures w14:val="none"/>
              </w:rPr>
            </w:pPr>
            <w:hyperlink w:anchor="BioharardousResearchProjectRegistration" w:history="1">
              <w:r w:rsidRPr="002E5E4F">
                <w:rPr>
                  <w:rStyle w:val="Hyperlink"/>
                  <w:rFonts w:eastAsia="Calibri" w:cs="Times New Roman"/>
                  <w:bCs/>
                  <w:color w:val="000000" w:themeColor="text1"/>
                  <w:kern w:val="0"/>
                  <w:u w:val="none"/>
                  <w14:ligatures w14:val="none"/>
                </w:rPr>
                <w:t>Biohazardous Research Project Registration and Approval</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62C731A6" w14:textId="45E37192" w:rsidR="00E1193A" w:rsidRPr="00004670" w:rsidRDefault="0050730A" w:rsidP="0050730A">
            <w:pPr>
              <w:jc w:val="center"/>
              <w:rPr>
                <w:rFonts w:eastAsia="Calibri" w:cs="Times New Roman"/>
                <w:bCs/>
                <w:kern w:val="0"/>
                <w14:ligatures w14:val="none"/>
              </w:rPr>
            </w:pPr>
            <w:r>
              <w:rPr>
                <w:rFonts w:eastAsia="Calibri" w:cs="Times New Roman"/>
                <w:bCs/>
                <w:kern w:val="0"/>
                <w14:ligatures w14:val="none"/>
              </w:rPr>
              <w:t>17</w:t>
            </w:r>
          </w:p>
        </w:tc>
      </w:tr>
      <w:tr w:rsidR="00004670" w14:paraId="2D20AD4B" w14:textId="77777777" w:rsidTr="003A4E53">
        <w:tc>
          <w:tcPr>
            <w:tcW w:w="8877" w:type="dxa"/>
            <w:tcBorders>
              <w:top w:val="nil"/>
              <w:left w:val="nil"/>
              <w:bottom w:val="nil"/>
              <w:right w:val="nil"/>
            </w:tcBorders>
          </w:tcPr>
          <w:p w14:paraId="0EE60869" w14:textId="50095A4E" w:rsidR="00004670" w:rsidRPr="002E5E4F" w:rsidRDefault="00004670" w:rsidP="00004670">
            <w:pPr>
              <w:rPr>
                <w:rFonts w:eastAsia="Calibri" w:cs="Times New Roman"/>
                <w:bCs/>
                <w:color w:val="000000" w:themeColor="text1"/>
                <w:kern w:val="0"/>
                <w14:ligatures w14:val="none"/>
              </w:rPr>
            </w:pPr>
            <w:hyperlink w:anchor="S4RiskGroupClassification" w:history="1">
              <w:r w:rsidRPr="002E5E4F">
                <w:rPr>
                  <w:rStyle w:val="Hyperlink"/>
                  <w:rFonts w:eastAsia="Calibri" w:cs="Times New Roman"/>
                  <w:bCs/>
                  <w:color w:val="000000" w:themeColor="text1"/>
                  <w:kern w:val="0"/>
                  <w:u w:val="none"/>
                  <w14:ligatures w14:val="none"/>
                </w:rPr>
                <w:t>Section 4: Risk Group Classification</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29DD62B6" w14:textId="087DB7CE" w:rsidR="00004670" w:rsidRPr="00004670" w:rsidRDefault="0050730A" w:rsidP="0050730A">
            <w:pPr>
              <w:jc w:val="center"/>
              <w:rPr>
                <w:rFonts w:eastAsia="Calibri" w:cs="Times New Roman"/>
                <w:bCs/>
                <w:kern w:val="0"/>
                <w14:ligatures w14:val="none"/>
              </w:rPr>
            </w:pPr>
            <w:r>
              <w:rPr>
                <w:rFonts w:eastAsia="Calibri" w:cs="Times New Roman"/>
                <w:bCs/>
                <w:kern w:val="0"/>
                <w14:ligatures w14:val="none"/>
              </w:rPr>
              <w:t>2</w:t>
            </w:r>
            <w:r w:rsidR="00EF3FC5">
              <w:rPr>
                <w:rFonts w:eastAsia="Calibri" w:cs="Times New Roman"/>
                <w:bCs/>
                <w:kern w:val="0"/>
                <w14:ligatures w14:val="none"/>
              </w:rPr>
              <w:t>2</w:t>
            </w:r>
          </w:p>
        </w:tc>
      </w:tr>
      <w:tr w:rsidR="00004670" w14:paraId="5CA6531E" w14:textId="77777777" w:rsidTr="003A4E53">
        <w:tc>
          <w:tcPr>
            <w:tcW w:w="8877" w:type="dxa"/>
            <w:tcBorders>
              <w:top w:val="nil"/>
              <w:left w:val="nil"/>
              <w:bottom w:val="nil"/>
              <w:right w:val="nil"/>
            </w:tcBorders>
          </w:tcPr>
          <w:p w14:paraId="59A4F388" w14:textId="43A8F182" w:rsidR="00004670" w:rsidRPr="002E5E4F" w:rsidRDefault="00004670" w:rsidP="00004670">
            <w:pPr>
              <w:rPr>
                <w:rFonts w:eastAsia="Calibri" w:cs="Times New Roman"/>
                <w:bCs/>
                <w:color w:val="000000" w:themeColor="text1"/>
                <w:kern w:val="0"/>
                <w14:ligatures w14:val="none"/>
              </w:rPr>
            </w:pPr>
            <w:hyperlink w:anchor="S5BiosafetyLaboratoryPractices" w:history="1">
              <w:r w:rsidRPr="002E5E4F">
                <w:rPr>
                  <w:rStyle w:val="Hyperlink"/>
                  <w:rFonts w:eastAsia="Calibri" w:cs="Times New Roman"/>
                  <w:bCs/>
                  <w:color w:val="000000" w:themeColor="text1"/>
                  <w:kern w:val="0"/>
                  <w:u w:val="none"/>
                  <w14:ligatures w14:val="none"/>
                </w:rPr>
                <w:t>Section 5: Biosafety Laboratory Practices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281F87B8" w14:textId="75D5C2D1" w:rsidR="00004670" w:rsidRPr="00004670" w:rsidRDefault="0050730A" w:rsidP="0050730A">
            <w:pPr>
              <w:jc w:val="center"/>
              <w:rPr>
                <w:rFonts w:eastAsia="Calibri" w:cs="Times New Roman"/>
                <w:bCs/>
                <w:kern w:val="0"/>
                <w14:ligatures w14:val="none"/>
              </w:rPr>
            </w:pPr>
            <w:r>
              <w:rPr>
                <w:rFonts w:eastAsia="Calibri" w:cs="Times New Roman"/>
                <w:bCs/>
                <w:kern w:val="0"/>
                <w14:ligatures w14:val="none"/>
              </w:rPr>
              <w:t>2</w:t>
            </w:r>
            <w:r w:rsidR="00EF3FC5">
              <w:rPr>
                <w:rFonts w:eastAsia="Calibri" w:cs="Times New Roman"/>
                <w:bCs/>
                <w:kern w:val="0"/>
                <w14:ligatures w14:val="none"/>
              </w:rPr>
              <w:t>3</w:t>
            </w:r>
          </w:p>
        </w:tc>
      </w:tr>
      <w:tr w:rsidR="00333282" w14:paraId="019C5632" w14:textId="77777777" w:rsidTr="003A4E53">
        <w:tc>
          <w:tcPr>
            <w:tcW w:w="8877" w:type="dxa"/>
            <w:tcBorders>
              <w:top w:val="nil"/>
              <w:left w:val="nil"/>
              <w:bottom w:val="nil"/>
              <w:right w:val="nil"/>
            </w:tcBorders>
          </w:tcPr>
          <w:p w14:paraId="72CD16D1" w14:textId="4FF9D93C" w:rsidR="00333282" w:rsidRPr="002E5E4F" w:rsidRDefault="00333282" w:rsidP="00333282">
            <w:pPr>
              <w:pStyle w:val="ListParagraph"/>
              <w:numPr>
                <w:ilvl w:val="0"/>
                <w:numId w:val="89"/>
              </w:numPr>
              <w:rPr>
                <w:rFonts w:eastAsia="Calibri" w:cs="Times New Roman"/>
                <w:bCs/>
                <w:color w:val="000000" w:themeColor="text1"/>
                <w:kern w:val="0"/>
                <w14:ligatures w14:val="none"/>
              </w:rPr>
            </w:pPr>
            <w:hyperlink w:anchor="StandardMicrobiologicalPracties" w:history="1">
              <w:r w:rsidRPr="002E5E4F">
                <w:rPr>
                  <w:rStyle w:val="Hyperlink"/>
                  <w:rFonts w:eastAsia="Calibri" w:cs="Times New Roman"/>
                  <w:bCs/>
                  <w:color w:val="000000" w:themeColor="text1"/>
                  <w:kern w:val="0"/>
                  <w:u w:val="none"/>
                  <w14:ligatures w14:val="none"/>
                </w:rPr>
                <w:t>Standard Microbiological Practi</w:t>
              </w:r>
              <w:r w:rsidR="00E1193A" w:rsidRPr="002E5E4F">
                <w:rPr>
                  <w:rStyle w:val="Hyperlink"/>
                  <w:rFonts w:eastAsia="Calibri" w:cs="Times New Roman"/>
                  <w:bCs/>
                  <w:color w:val="000000" w:themeColor="text1"/>
                  <w:kern w:val="0"/>
                  <w:u w:val="none"/>
                  <w14:ligatures w14:val="none"/>
                </w:rPr>
                <w:t>c</w:t>
              </w:r>
              <w:r w:rsidRPr="002E5E4F">
                <w:rPr>
                  <w:rStyle w:val="Hyperlink"/>
                  <w:rFonts w:eastAsia="Calibri" w:cs="Times New Roman"/>
                  <w:bCs/>
                  <w:color w:val="000000" w:themeColor="text1"/>
                  <w:kern w:val="0"/>
                  <w:u w:val="none"/>
                  <w14:ligatures w14:val="none"/>
                </w:rPr>
                <w:t>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40F13C1F" w14:textId="20DCE5F2" w:rsidR="00333282" w:rsidRPr="00004670" w:rsidRDefault="0050730A" w:rsidP="0050730A">
            <w:pPr>
              <w:jc w:val="center"/>
              <w:rPr>
                <w:rFonts w:eastAsia="Calibri" w:cs="Times New Roman"/>
                <w:bCs/>
                <w:kern w:val="0"/>
                <w14:ligatures w14:val="none"/>
              </w:rPr>
            </w:pPr>
            <w:r>
              <w:rPr>
                <w:rFonts w:eastAsia="Calibri" w:cs="Times New Roman"/>
                <w:bCs/>
                <w:kern w:val="0"/>
                <w14:ligatures w14:val="none"/>
              </w:rPr>
              <w:t>2</w:t>
            </w:r>
            <w:r w:rsidR="00EF3FC5">
              <w:rPr>
                <w:rFonts w:eastAsia="Calibri" w:cs="Times New Roman"/>
                <w:bCs/>
                <w:kern w:val="0"/>
                <w14:ligatures w14:val="none"/>
              </w:rPr>
              <w:t>3</w:t>
            </w:r>
          </w:p>
        </w:tc>
      </w:tr>
      <w:tr w:rsidR="00333282" w14:paraId="0B148B81" w14:textId="77777777" w:rsidTr="003A4E53">
        <w:tc>
          <w:tcPr>
            <w:tcW w:w="8877" w:type="dxa"/>
            <w:tcBorders>
              <w:top w:val="nil"/>
              <w:left w:val="nil"/>
              <w:bottom w:val="nil"/>
              <w:right w:val="nil"/>
            </w:tcBorders>
          </w:tcPr>
          <w:p w14:paraId="7F736C94" w14:textId="68398C8C" w:rsidR="00333282" w:rsidRPr="002E5E4F" w:rsidRDefault="00333282" w:rsidP="00333282">
            <w:pPr>
              <w:pStyle w:val="ListParagraph"/>
              <w:numPr>
                <w:ilvl w:val="0"/>
                <w:numId w:val="88"/>
              </w:numPr>
              <w:rPr>
                <w:rFonts w:eastAsia="Calibri" w:cs="Times New Roman"/>
                <w:bCs/>
                <w:color w:val="000000" w:themeColor="text1"/>
                <w:kern w:val="0"/>
                <w14:ligatures w14:val="none"/>
              </w:rPr>
            </w:pPr>
            <w:hyperlink w:anchor="BiosafetyLevelsforLabs" w:history="1">
              <w:r w:rsidRPr="002E5E4F">
                <w:rPr>
                  <w:rStyle w:val="Hyperlink"/>
                  <w:rFonts w:eastAsia="Calibri" w:cs="Times New Roman"/>
                  <w:bCs/>
                  <w:color w:val="000000" w:themeColor="text1"/>
                  <w:kern w:val="0"/>
                  <w:u w:val="none"/>
                  <w14:ligatures w14:val="none"/>
                </w:rPr>
                <w:t>Biosafety Levels for Laboratories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0A1963C1" w14:textId="7FF06066" w:rsidR="00333282" w:rsidRPr="00004670" w:rsidRDefault="0050730A" w:rsidP="0050730A">
            <w:pPr>
              <w:jc w:val="center"/>
              <w:rPr>
                <w:rFonts w:eastAsia="Calibri" w:cs="Times New Roman"/>
                <w:bCs/>
                <w:kern w:val="0"/>
                <w14:ligatures w14:val="none"/>
              </w:rPr>
            </w:pPr>
            <w:r>
              <w:rPr>
                <w:rFonts w:eastAsia="Calibri" w:cs="Times New Roman"/>
                <w:bCs/>
                <w:kern w:val="0"/>
                <w14:ligatures w14:val="none"/>
              </w:rPr>
              <w:t>2</w:t>
            </w:r>
            <w:r w:rsidR="00EF3FC5">
              <w:rPr>
                <w:rFonts w:eastAsia="Calibri" w:cs="Times New Roman"/>
                <w:bCs/>
                <w:kern w:val="0"/>
                <w14:ligatures w14:val="none"/>
              </w:rPr>
              <w:t>5</w:t>
            </w:r>
          </w:p>
        </w:tc>
      </w:tr>
      <w:tr w:rsidR="00004670" w14:paraId="42B26725" w14:textId="77777777" w:rsidTr="003A4E53">
        <w:tc>
          <w:tcPr>
            <w:tcW w:w="8877" w:type="dxa"/>
            <w:tcBorders>
              <w:top w:val="nil"/>
              <w:left w:val="nil"/>
              <w:bottom w:val="nil"/>
              <w:right w:val="nil"/>
            </w:tcBorders>
          </w:tcPr>
          <w:p w14:paraId="73CF855B" w14:textId="11B28047" w:rsidR="00004670" w:rsidRPr="002E5E4F" w:rsidRDefault="00004670" w:rsidP="00004670">
            <w:pPr>
              <w:rPr>
                <w:rFonts w:eastAsia="Calibri" w:cs="Times New Roman"/>
                <w:bCs/>
                <w:color w:val="000000" w:themeColor="text1"/>
                <w:kern w:val="0"/>
                <w14:ligatures w14:val="none"/>
              </w:rPr>
            </w:pPr>
            <w:hyperlink w:anchor="S6LabAccess" w:history="1">
              <w:r w:rsidRPr="002E5E4F">
                <w:rPr>
                  <w:rStyle w:val="Hyperlink"/>
                  <w:rFonts w:eastAsia="Calibri" w:cs="Times New Roman"/>
                  <w:bCs/>
                  <w:color w:val="000000" w:themeColor="text1"/>
                  <w:kern w:val="0"/>
                  <w:u w:val="none"/>
                  <w14:ligatures w14:val="none"/>
                </w:rPr>
                <w:t>Section 6: Laboratory Access</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B3BDDA1" w14:textId="3216776B" w:rsidR="00004670" w:rsidRPr="00004670" w:rsidRDefault="0050730A" w:rsidP="0050730A">
            <w:pPr>
              <w:jc w:val="center"/>
              <w:rPr>
                <w:rFonts w:eastAsia="Calibri" w:cs="Times New Roman"/>
                <w:bCs/>
                <w:kern w:val="0"/>
                <w14:ligatures w14:val="none"/>
              </w:rPr>
            </w:pPr>
            <w:r>
              <w:rPr>
                <w:rFonts w:eastAsia="Calibri" w:cs="Times New Roman"/>
                <w:bCs/>
                <w:kern w:val="0"/>
                <w14:ligatures w14:val="none"/>
              </w:rPr>
              <w:t>2</w:t>
            </w:r>
            <w:r w:rsidR="00EF3FC5">
              <w:rPr>
                <w:rFonts w:eastAsia="Calibri" w:cs="Times New Roman"/>
                <w:bCs/>
                <w:kern w:val="0"/>
                <w14:ligatures w14:val="none"/>
              </w:rPr>
              <w:t>8</w:t>
            </w:r>
          </w:p>
        </w:tc>
      </w:tr>
      <w:tr w:rsidR="00333282" w14:paraId="7F43B59C" w14:textId="77777777" w:rsidTr="003A4E53">
        <w:tc>
          <w:tcPr>
            <w:tcW w:w="8877" w:type="dxa"/>
            <w:tcBorders>
              <w:top w:val="nil"/>
              <w:left w:val="nil"/>
              <w:bottom w:val="nil"/>
              <w:right w:val="nil"/>
            </w:tcBorders>
          </w:tcPr>
          <w:p w14:paraId="65CABAEB" w14:textId="1BEA1D2B" w:rsidR="00333282" w:rsidRPr="002E5E4F" w:rsidRDefault="00333282" w:rsidP="00333282">
            <w:pPr>
              <w:pStyle w:val="ListParagraph"/>
              <w:numPr>
                <w:ilvl w:val="0"/>
                <w:numId w:val="87"/>
              </w:numPr>
              <w:rPr>
                <w:rFonts w:eastAsia="Calibri" w:cs="Times New Roman"/>
                <w:bCs/>
                <w:color w:val="000000" w:themeColor="text1"/>
                <w:kern w:val="0"/>
                <w14:ligatures w14:val="none"/>
              </w:rPr>
            </w:pPr>
            <w:hyperlink w:anchor="Admittaance" w:history="1">
              <w:r w:rsidRPr="002E5E4F">
                <w:rPr>
                  <w:rStyle w:val="Hyperlink"/>
                  <w:rFonts w:eastAsia="Calibri" w:cs="Times New Roman"/>
                  <w:bCs/>
                  <w:color w:val="000000" w:themeColor="text1"/>
                  <w:kern w:val="0"/>
                  <w:u w:val="none"/>
                  <w14:ligatures w14:val="none"/>
                </w:rPr>
                <w:t>Admittance</w:t>
              </w:r>
            </w:hyperlink>
            <w:r w:rsidRPr="002E5E4F">
              <w:rPr>
                <w:rFonts w:eastAsia="Calibri" w:cs="Times New Roman"/>
                <w:bCs/>
                <w:color w:val="000000" w:themeColor="text1"/>
                <w:kern w:val="0"/>
                <w14:ligatures w14:val="none"/>
              </w:rPr>
              <w:t xml:space="preserve"> </w:t>
            </w:r>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2D71BBF0" w14:textId="6CAE6EF5" w:rsidR="00333282" w:rsidRPr="00004670" w:rsidRDefault="00FB4165" w:rsidP="0050730A">
            <w:pPr>
              <w:jc w:val="center"/>
              <w:rPr>
                <w:rFonts w:eastAsia="Calibri" w:cs="Times New Roman"/>
                <w:bCs/>
                <w:kern w:val="0"/>
                <w14:ligatures w14:val="none"/>
              </w:rPr>
            </w:pPr>
            <w:r>
              <w:rPr>
                <w:rFonts w:eastAsia="Calibri" w:cs="Times New Roman"/>
                <w:bCs/>
                <w:kern w:val="0"/>
                <w14:ligatures w14:val="none"/>
              </w:rPr>
              <w:t>2</w:t>
            </w:r>
            <w:r w:rsidR="00EF3FC5">
              <w:rPr>
                <w:rFonts w:eastAsia="Calibri" w:cs="Times New Roman"/>
                <w:bCs/>
                <w:kern w:val="0"/>
                <w14:ligatures w14:val="none"/>
              </w:rPr>
              <w:t>8</w:t>
            </w:r>
          </w:p>
        </w:tc>
      </w:tr>
      <w:tr w:rsidR="00333282" w14:paraId="62F10909" w14:textId="77777777" w:rsidTr="003A4E53">
        <w:tc>
          <w:tcPr>
            <w:tcW w:w="8877" w:type="dxa"/>
            <w:tcBorders>
              <w:top w:val="nil"/>
              <w:left w:val="nil"/>
              <w:bottom w:val="nil"/>
              <w:right w:val="nil"/>
            </w:tcBorders>
          </w:tcPr>
          <w:p w14:paraId="56230219" w14:textId="0CD13DD5" w:rsidR="00333282" w:rsidRPr="002E5E4F" w:rsidRDefault="00333282" w:rsidP="00333282">
            <w:pPr>
              <w:pStyle w:val="ListParagraph"/>
              <w:numPr>
                <w:ilvl w:val="0"/>
                <w:numId w:val="87"/>
              </w:numPr>
              <w:rPr>
                <w:rFonts w:eastAsia="Calibri" w:cs="Times New Roman"/>
                <w:bCs/>
                <w:color w:val="000000" w:themeColor="text1"/>
                <w:kern w:val="0"/>
                <w14:ligatures w14:val="none"/>
              </w:rPr>
            </w:pPr>
            <w:hyperlink w:anchor="Security" w:history="1">
              <w:r w:rsidRPr="002E5E4F">
                <w:rPr>
                  <w:rStyle w:val="Hyperlink"/>
                  <w:rFonts w:eastAsia="Calibri" w:cs="Times New Roman"/>
                  <w:bCs/>
                  <w:color w:val="000000" w:themeColor="text1"/>
                  <w:kern w:val="0"/>
                  <w:u w:val="none"/>
                  <w14:ligatures w14:val="none"/>
                </w:rPr>
                <w:t>Security</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18146EF2" w14:textId="07AA27C5" w:rsidR="00333282" w:rsidRPr="00004670" w:rsidRDefault="00FB4165" w:rsidP="0050730A">
            <w:pPr>
              <w:jc w:val="center"/>
              <w:rPr>
                <w:rFonts w:eastAsia="Calibri" w:cs="Times New Roman"/>
                <w:bCs/>
                <w:kern w:val="0"/>
                <w14:ligatures w14:val="none"/>
              </w:rPr>
            </w:pPr>
            <w:r>
              <w:rPr>
                <w:rFonts w:eastAsia="Calibri" w:cs="Times New Roman"/>
                <w:bCs/>
                <w:kern w:val="0"/>
                <w14:ligatures w14:val="none"/>
              </w:rPr>
              <w:t>2</w:t>
            </w:r>
            <w:r w:rsidR="00EF3FC5">
              <w:rPr>
                <w:rFonts w:eastAsia="Calibri" w:cs="Times New Roman"/>
                <w:bCs/>
                <w:kern w:val="0"/>
                <w14:ligatures w14:val="none"/>
              </w:rPr>
              <w:t>8</w:t>
            </w:r>
          </w:p>
        </w:tc>
      </w:tr>
      <w:tr w:rsidR="00333282" w14:paraId="575E2259" w14:textId="77777777" w:rsidTr="003A4E53">
        <w:tc>
          <w:tcPr>
            <w:tcW w:w="8877" w:type="dxa"/>
            <w:tcBorders>
              <w:top w:val="nil"/>
              <w:left w:val="nil"/>
              <w:bottom w:val="nil"/>
              <w:right w:val="nil"/>
            </w:tcBorders>
          </w:tcPr>
          <w:p w14:paraId="67AA9ABD" w14:textId="485DAFC0" w:rsidR="00333282" w:rsidRPr="002E5E4F" w:rsidRDefault="00333282" w:rsidP="00333282">
            <w:pPr>
              <w:pStyle w:val="ListParagraph"/>
              <w:numPr>
                <w:ilvl w:val="0"/>
                <w:numId w:val="87"/>
              </w:numPr>
              <w:rPr>
                <w:rFonts w:eastAsia="Calibri" w:cs="Times New Roman"/>
                <w:bCs/>
                <w:color w:val="000000" w:themeColor="text1"/>
                <w:kern w:val="0"/>
                <w14:ligatures w14:val="none"/>
              </w:rPr>
            </w:pPr>
            <w:hyperlink w:anchor="Vaccinations" w:history="1">
              <w:r w:rsidRPr="002E5E4F">
                <w:rPr>
                  <w:rStyle w:val="Hyperlink"/>
                  <w:rFonts w:eastAsia="Calibri" w:cs="Times New Roman"/>
                  <w:bCs/>
                  <w:color w:val="000000" w:themeColor="text1"/>
                  <w:kern w:val="0"/>
                  <w:u w:val="none"/>
                  <w14:ligatures w14:val="none"/>
                </w:rPr>
                <w:t>Vaccinations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16FF3342" w14:textId="7C94B0C4" w:rsidR="00333282" w:rsidRPr="00004670" w:rsidRDefault="00FB4165" w:rsidP="0050730A">
            <w:pPr>
              <w:jc w:val="center"/>
              <w:rPr>
                <w:rFonts w:eastAsia="Calibri" w:cs="Times New Roman"/>
                <w:bCs/>
                <w:kern w:val="0"/>
                <w14:ligatures w14:val="none"/>
              </w:rPr>
            </w:pPr>
            <w:r>
              <w:rPr>
                <w:rFonts w:eastAsia="Calibri" w:cs="Times New Roman"/>
                <w:bCs/>
                <w:kern w:val="0"/>
                <w14:ligatures w14:val="none"/>
              </w:rPr>
              <w:t>2</w:t>
            </w:r>
            <w:r w:rsidR="00EF3FC5">
              <w:rPr>
                <w:rFonts w:eastAsia="Calibri" w:cs="Times New Roman"/>
                <w:bCs/>
                <w:kern w:val="0"/>
                <w14:ligatures w14:val="none"/>
              </w:rPr>
              <w:t>8</w:t>
            </w:r>
          </w:p>
        </w:tc>
      </w:tr>
      <w:tr w:rsidR="00333282" w14:paraId="0073F8BD" w14:textId="77777777" w:rsidTr="003A4E53">
        <w:tc>
          <w:tcPr>
            <w:tcW w:w="8877" w:type="dxa"/>
            <w:tcBorders>
              <w:top w:val="nil"/>
              <w:left w:val="nil"/>
              <w:bottom w:val="nil"/>
              <w:right w:val="nil"/>
            </w:tcBorders>
          </w:tcPr>
          <w:p w14:paraId="5F2078DD" w14:textId="02D1C409" w:rsidR="00333282" w:rsidRPr="002E5E4F" w:rsidRDefault="00333282" w:rsidP="00333282">
            <w:pPr>
              <w:pStyle w:val="ListParagraph"/>
              <w:numPr>
                <w:ilvl w:val="0"/>
                <w:numId w:val="86"/>
              </w:numPr>
              <w:rPr>
                <w:rFonts w:eastAsia="Calibri" w:cs="Times New Roman"/>
                <w:bCs/>
                <w:color w:val="000000" w:themeColor="text1"/>
                <w:kern w:val="0"/>
                <w14:ligatures w14:val="none"/>
              </w:rPr>
            </w:pPr>
            <w:hyperlink w:anchor="RestrictionsorRecommendations" w:history="1">
              <w:r w:rsidRPr="002E5E4F">
                <w:rPr>
                  <w:rStyle w:val="Hyperlink"/>
                  <w:rFonts w:eastAsia="Calibri" w:cs="Times New Roman"/>
                  <w:bCs/>
                  <w:color w:val="000000" w:themeColor="text1"/>
                  <w:kern w:val="0"/>
                  <w:u w:val="none"/>
                  <w14:ligatures w14:val="none"/>
                </w:rPr>
                <w:t>Restrictions or Recommendations</w:t>
              </w:r>
            </w:hyperlink>
            <w:r w:rsidR="00B94D6F" w:rsidRPr="002E5E4F">
              <w:rPr>
                <w:rFonts w:eastAsia="Calibri" w:cs="Times New Roman"/>
                <w:bCs/>
                <w:color w:val="000000" w:themeColor="text1"/>
                <w:kern w:val="0"/>
                <w14:ligatures w14:val="none"/>
              </w:rPr>
              <w:t>…………………………………………………………</w:t>
            </w:r>
            <w:r w:rsidR="007A4D3C">
              <w:rPr>
                <w:rFonts w:eastAsia="Calibri" w:cs="Times New Roman"/>
                <w:bCs/>
                <w:color w:val="000000" w:themeColor="text1"/>
                <w:kern w:val="0"/>
                <w14:ligatures w14:val="none"/>
              </w:rPr>
              <w:t>.</w:t>
            </w:r>
          </w:p>
        </w:tc>
        <w:tc>
          <w:tcPr>
            <w:tcW w:w="473" w:type="dxa"/>
            <w:tcBorders>
              <w:top w:val="nil"/>
              <w:left w:val="nil"/>
              <w:bottom w:val="nil"/>
              <w:right w:val="nil"/>
            </w:tcBorders>
          </w:tcPr>
          <w:p w14:paraId="7BC99C09" w14:textId="283DF211" w:rsidR="00333282" w:rsidRPr="00004670" w:rsidRDefault="00FB4165" w:rsidP="0050730A">
            <w:pPr>
              <w:jc w:val="center"/>
              <w:rPr>
                <w:rFonts w:eastAsia="Calibri" w:cs="Times New Roman"/>
                <w:bCs/>
                <w:kern w:val="0"/>
                <w14:ligatures w14:val="none"/>
              </w:rPr>
            </w:pPr>
            <w:r>
              <w:rPr>
                <w:rFonts w:eastAsia="Calibri" w:cs="Times New Roman"/>
                <w:bCs/>
                <w:kern w:val="0"/>
                <w14:ligatures w14:val="none"/>
              </w:rPr>
              <w:t>2</w:t>
            </w:r>
            <w:r w:rsidR="00EF3FC5">
              <w:rPr>
                <w:rFonts w:eastAsia="Calibri" w:cs="Times New Roman"/>
                <w:bCs/>
                <w:kern w:val="0"/>
                <w14:ligatures w14:val="none"/>
              </w:rPr>
              <w:t>8</w:t>
            </w:r>
          </w:p>
        </w:tc>
      </w:tr>
      <w:tr w:rsidR="00333282" w14:paraId="3978ED88" w14:textId="77777777" w:rsidTr="003A4E53">
        <w:tc>
          <w:tcPr>
            <w:tcW w:w="8877" w:type="dxa"/>
            <w:tcBorders>
              <w:top w:val="nil"/>
              <w:left w:val="nil"/>
              <w:bottom w:val="nil"/>
              <w:right w:val="nil"/>
            </w:tcBorders>
          </w:tcPr>
          <w:p w14:paraId="47EABE69" w14:textId="3E2598D3" w:rsidR="00333282" w:rsidRPr="002E5E4F" w:rsidRDefault="00333282" w:rsidP="00333282">
            <w:pPr>
              <w:pStyle w:val="ListParagraph"/>
              <w:numPr>
                <w:ilvl w:val="0"/>
                <w:numId w:val="85"/>
              </w:numPr>
              <w:rPr>
                <w:rFonts w:eastAsia="Calibri" w:cs="Times New Roman"/>
                <w:bCs/>
                <w:color w:val="000000" w:themeColor="text1"/>
                <w:kern w:val="0"/>
                <w14:ligatures w14:val="none"/>
              </w:rPr>
            </w:pPr>
            <w:hyperlink w:anchor="BiosafetyTraining" w:history="1">
              <w:r w:rsidRPr="002E5E4F">
                <w:rPr>
                  <w:rStyle w:val="Hyperlink"/>
                  <w:rFonts w:eastAsia="Calibri" w:cs="Times New Roman"/>
                  <w:bCs/>
                  <w:color w:val="000000" w:themeColor="text1"/>
                  <w:kern w:val="0"/>
                  <w:u w:val="none"/>
                  <w14:ligatures w14:val="none"/>
                </w:rPr>
                <w:t>Biosafety Training</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13979697" w14:textId="197E4D7E" w:rsidR="00333282" w:rsidRPr="00004670" w:rsidRDefault="00FB4165" w:rsidP="0050730A">
            <w:pPr>
              <w:jc w:val="center"/>
              <w:rPr>
                <w:rFonts w:eastAsia="Calibri" w:cs="Times New Roman"/>
                <w:bCs/>
                <w:kern w:val="0"/>
                <w14:ligatures w14:val="none"/>
              </w:rPr>
            </w:pPr>
            <w:r>
              <w:rPr>
                <w:rFonts w:eastAsia="Calibri" w:cs="Times New Roman"/>
                <w:bCs/>
                <w:kern w:val="0"/>
                <w14:ligatures w14:val="none"/>
              </w:rPr>
              <w:t>2</w:t>
            </w:r>
            <w:r w:rsidR="00EF3FC5">
              <w:rPr>
                <w:rFonts w:eastAsia="Calibri" w:cs="Times New Roman"/>
                <w:bCs/>
                <w:kern w:val="0"/>
                <w14:ligatures w14:val="none"/>
              </w:rPr>
              <w:t>8</w:t>
            </w:r>
          </w:p>
        </w:tc>
      </w:tr>
      <w:tr w:rsidR="00004670" w14:paraId="4BB0E102" w14:textId="77777777" w:rsidTr="003A4E53">
        <w:tc>
          <w:tcPr>
            <w:tcW w:w="8877" w:type="dxa"/>
            <w:tcBorders>
              <w:top w:val="nil"/>
              <w:left w:val="nil"/>
              <w:bottom w:val="nil"/>
              <w:right w:val="nil"/>
            </w:tcBorders>
          </w:tcPr>
          <w:p w14:paraId="52DFC38E" w14:textId="0717E0C8" w:rsidR="00004670" w:rsidRPr="002E5E4F" w:rsidRDefault="00004670" w:rsidP="00004670">
            <w:pPr>
              <w:rPr>
                <w:rFonts w:eastAsia="Calibri" w:cs="Times New Roman"/>
                <w:bCs/>
                <w:color w:val="000000" w:themeColor="text1"/>
                <w:kern w:val="0"/>
                <w14:ligatures w14:val="none"/>
              </w:rPr>
            </w:pPr>
            <w:hyperlink w:anchor="S7ControlstoReduceExposure" w:history="1">
              <w:r w:rsidRPr="002E5E4F">
                <w:rPr>
                  <w:rStyle w:val="Hyperlink"/>
                  <w:rFonts w:eastAsia="Calibri" w:cs="Times New Roman"/>
                  <w:bCs/>
                  <w:color w:val="000000" w:themeColor="text1"/>
                  <w:kern w:val="0"/>
                  <w:u w:val="none"/>
                  <w14:ligatures w14:val="none"/>
                </w:rPr>
                <w:t>Section 7: Controls to Reduce Exposures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6D5E09F5" w14:textId="1A4BC792" w:rsidR="00004670" w:rsidRPr="00004670" w:rsidRDefault="00EF3FC5" w:rsidP="0050730A">
            <w:pPr>
              <w:jc w:val="center"/>
              <w:rPr>
                <w:rFonts w:eastAsia="Calibri" w:cs="Times New Roman"/>
                <w:bCs/>
                <w:kern w:val="0"/>
                <w14:ligatures w14:val="none"/>
              </w:rPr>
            </w:pPr>
            <w:r>
              <w:rPr>
                <w:rFonts w:eastAsia="Calibri" w:cs="Times New Roman"/>
                <w:bCs/>
                <w:kern w:val="0"/>
                <w14:ligatures w14:val="none"/>
              </w:rPr>
              <w:t>30</w:t>
            </w:r>
          </w:p>
        </w:tc>
      </w:tr>
      <w:tr w:rsidR="000A313A" w14:paraId="4D48E2E2" w14:textId="77777777" w:rsidTr="003A4E53">
        <w:tc>
          <w:tcPr>
            <w:tcW w:w="8877" w:type="dxa"/>
            <w:tcBorders>
              <w:top w:val="nil"/>
              <w:left w:val="nil"/>
              <w:bottom w:val="nil"/>
              <w:right w:val="nil"/>
            </w:tcBorders>
          </w:tcPr>
          <w:p w14:paraId="6FFAB45F" w14:textId="1C6CCE55" w:rsidR="000A313A" w:rsidRPr="002E5E4F" w:rsidRDefault="000A313A" w:rsidP="000A313A">
            <w:pPr>
              <w:pStyle w:val="ListParagraph"/>
              <w:numPr>
                <w:ilvl w:val="0"/>
                <w:numId w:val="84"/>
              </w:numPr>
              <w:rPr>
                <w:rFonts w:eastAsia="Calibri" w:cs="Times New Roman"/>
                <w:bCs/>
                <w:color w:val="000000" w:themeColor="text1"/>
                <w:kern w:val="0"/>
                <w14:ligatures w14:val="none"/>
              </w:rPr>
            </w:pPr>
            <w:hyperlink w:anchor="NegativePressure" w:history="1">
              <w:r w:rsidRPr="002E5E4F">
                <w:rPr>
                  <w:rStyle w:val="Hyperlink"/>
                  <w:rFonts w:eastAsia="Calibri" w:cs="Times New Roman"/>
                  <w:bCs/>
                  <w:color w:val="000000" w:themeColor="text1"/>
                  <w:kern w:val="0"/>
                  <w:u w:val="none"/>
                  <w14:ligatures w14:val="none"/>
                </w:rPr>
                <w:t>Negative Pressure</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FE69E03" w14:textId="3498FFA6" w:rsidR="000A313A" w:rsidRPr="00004670" w:rsidRDefault="00EF3FC5" w:rsidP="0050730A">
            <w:pPr>
              <w:jc w:val="center"/>
              <w:rPr>
                <w:rFonts w:eastAsia="Calibri" w:cs="Times New Roman"/>
                <w:bCs/>
                <w:kern w:val="0"/>
                <w14:ligatures w14:val="none"/>
              </w:rPr>
            </w:pPr>
            <w:r>
              <w:rPr>
                <w:rFonts w:eastAsia="Calibri" w:cs="Times New Roman"/>
                <w:bCs/>
                <w:kern w:val="0"/>
                <w14:ligatures w14:val="none"/>
              </w:rPr>
              <w:t>30</w:t>
            </w:r>
          </w:p>
        </w:tc>
      </w:tr>
      <w:tr w:rsidR="000A313A" w14:paraId="56BBFB41" w14:textId="77777777" w:rsidTr="003A4E53">
        <w:tc>
          <w:tcPr>
            <w:tcW w:w="8877" w:type="dxa"/>
            <w:tcBorders>
              <w:top w:val="nil"/>
              <w:left w:val="nil"/>
              <w:bottom w:val="nil"/>
              <w:right w:val="nil"/>
            </w:tcBorders>
          </w:tcPr>
          <w:p w14:paraId="5F4530BF" w14:textId="00062A04" w:rsidR="000A313A" w:rsidRPr="002E5E4F" w:rsidRDefault="000A313A" w:rsidP="000A313A">
            <w:pPr>
              <w:pStyle w:val="ListParagraph"/>
              <w:numPr>
                <w:ilvl w:val="0"/>
                <w:numId w:val="84"/>
              </w:numPr>
              <w:rPr>
                <w:rFonts w:eastAsia="Calibri" w:cs="Times New Roman"/>
                <w:bCs/>
                <w:color w:val="000000" w:themeColor="text1"/>
                <w:kern w:val="0"/>
                <w14:ligatures w14:val="none"/>
              </w:rPr>
            </w:pPr>
            <w:hyperlink w:anchor="Benchtopss" w:history="1">
              <w:r w:rsidRPr="002E5E4F">
                <w:rPr>
                  <w:rStyle w:val="Hyperlink"/>
                  <w:rFonts w:eastAsia="Calibri" w:cs="Times New Roman"/>
                  <w:bCs/>
                  <w:color w:val="000000" w:themeColor="text1"/>
                  <w:kern w:val="0"/>
                  <w:u w:val="none"/>
                  <w14:ligatures w14:val="none"/>
                </w:rPr>
                <w:t>Bench Tops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C6C02FF" w14:textId="064D5FB9" w:rsidR="000A313A" w:rsidRPr="00004670" w:rsidRDefault="00EF3FC5" w:rsidP="0050730A">
            <w:pPr>
              <w:jc w:val="center"/>
              <w:rPr>
                <w:rFonts w:eastAsia="Calibri" w:cs="Times New Roman"/>
                <w:bCs/>
                <w:kern w:val="0"/>
                <w14:ligatures w14:val="none"/>
              </w:rPr>
            </w:pPr>
            <w:r>
              <w:rPr>
                <w:rFonts w:eastAsia="Calibri" w:cs="Times New Roman"/>
                <w:bCs/>
                <w:kern w:val="0"/>
                <w14:ligatures w14:val="none"/>
              </w:rPr>
              <w:t>30</w:t>
            </w:r>
          </w:p>
        </w:tc>
      </w:tr>
      <w:tr w:rsidR="000A313A" w14:paraId="1B27C479" w14:textId="77777777" w:rsidTr="003A4E53">
        <w:tc>
          <w:tcPr>
            <w:tcW w:w="8877" w:type="dxa"/>
            <w:tcBorders>
              <w:top w:val="nil"/>
              <w:left w:val="nil"/>
              <w:bottom w:val="nil"/>
              <w:right w:val="nil"/>
            </w:tcBorders>
          </w:tcPr>
          <w:p w14:paraId="00055929" w14:textId="3ABA8550" w:rsidR="000A313A" w:rsidRPr="002E5E4F" w:rsidRDefault="000A313A" w:rsidP="000A313A">
            <w:pPr>
              <w:pStyle w:val="ListParagraph"/>
              <w:numPr>
                <w:ilvl w:val="0"/>
                <w:numId w:val="84"/>
              </w:numPr>
              <w:rPr>
                <w:rFonts w:eastAsia="Calibri" w:cs="Times New Roman"/>
                <w:bCs/>
                <w:color w:val="000000" w:themeColor="text1"/>
                <w:kern w:val="0"/>
                <w14:ligatures w14:val="none"/>
              </w:rPr>
            </w:pPr>
            <w:hyperlink w:anchor="LabFurniture" w:history="1">
              <w:r w:rsidRPr="002E5E4F">
                <w:rPr>
                  <w:rStyle w:val="Hyperlink"/>
                  <w:rFonts w:eastAsia="Calibri" w:cs="Times New Roman"/>
                  <w:bCs/>
                  <w:color w:val="000000" w:themeColor="text1"/>
                  <w:kern w:val="0"/>
                  <w:u w:val="none"/>
                  <w14:ligatures w14:val="none"/>
                </w:rPr>
                <w:t>Laboratory Furniture</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683A2EF1" w14:textId="6819427F" w:rsidR="000A313A" w:rsidRPr="00004670" w:rsidRDefault="00EF3FC5" w:rsidP="0050730A">
            <w:pPr>
              <w:jc w:val="center"/>
              <w:rPr>
                <w:rFonts w:eastAsia="Calibri" w:cs="Times New Roman"/>
                <w:bCs/>
                <w:kern w:val="0"/>
                <w14:ligatures w14:val="none"/>
              </w:rPr>
            </w:pPr>
            <w:r>
              <w:rPr>
                <w:rFonts w:eastAsia="Calibri" w:cs="Times New Roman"/>
                <w:bCs/>
                <w:kern w:val="0"/>
                <w14:ligatures w14:val="none"/>
              </w:rPr>
              <w:t>30</w:t>
            </w:r>
          </w:p>
        </w:tc>
      </w:tr>
      <w:tr w:rsidR="000A313A" w14:paraId="5616FF05" w14:textId="77777777" w:rsidTr="003A4E53">
        <w:tc>
          <w:tcPr>
            <w:tcW w:w="8877" w:type="dxa"/>
            <w:tcBorders>
              <w:top w:val="nil"/>
              <w:left w:val="nil"/>
              <w:bottom w:val="nil"/>
              <w:right w:val="nil"/>
            </w:tcBorders>
          </w:tcPr>
          <w:p w14:paraId="7439E7CE" w14:textId="01191132" w:rsidR="000A313A" w:rsidRPr="002E5E4F" w:rsidRDefault="000A313A" w:rsidP="000A313A">
            <w:pPr>
              <w:pStyle w:val="ListParagraph"/>
              <w:numPr>
                <w:ilvl w:val="0"/>
                <w:numId w:val="84"/>
              </w:numPr>
              <w:rPr>
                <w:rFonts w:eastAsia="Calibri" w:cs="Times New Roman"/>
                <w:bCs/>
                <w:color w:val="000000" w:themeColor="text1"/>
                <w:kern w:val="0"/>
                <w14:ligatures w14:val="none"/>
              </w:rPr>
            </w:pPr>
            <w:hyperlink w:anchor="PPE" w:history="1">
              <w:r w:rsidRPr="002E5E4F">
                <w:rPr>
                  <w:rStyle w:val="Hyperlink"/>
                  <w:rFonts w:eastAsia="Calibri" w:cs="Times New Roman"/>
                  <w:bCs/>
                  <w:color w:val="000000" w:themeColor="text1"/>
                  <w:kern w:val="0"/>
                  <w:u w:val="none"/>
                  <w14:ligatures w14:val="none"/>
                </w:rPr>
                <w:t>Personal Protective Equipment (PPE</w:t>
              </w:r>
            </w:hyperlink>
            <w:r w:rsidRPr="002E5E4F">
              <w:rPr>
                <w:rFonts w:eastAsia="Calibri" w:cs="Times New Roman"/>
                <w:bCs/>
                <w:color w:val="000000" w:themeColor="text1"/>
                <w:kern w:val="0"/>
                <w14:ligatures w14:val="none"/>
              </w:rPr>
              <w:t>)</w:t>
            </w:r>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6C7EC34B" w14:textId="4EDC08FA" w:rsidR="000A313A" w:rsidRPr="00004670" w:rsidRDefault="00EF3FC5" w:rsidP="0050730A">
            <w:pPr>
              <w:jc w:val="center"/>
              <w:rPr>
                <w:rFonts w:eastAsia="Calibri" w:cs="Times New Roman"/>
                <w:bCs/>
                <w:kern w:val="0"/>
                <w14:ligatures w14:val="none"/>
              </w:rPr>
            </w:pPr>
            <w:r>
              <w:rPr>
                <w:rFonts w:eastAsia="Calibri" w:cs="Times New Roman"/>
                <w:bCs/>
                <w:kern w:val="0"/>
                <w14:ligatures w14:val="none"/>
              </w:rPr>
              <w:t>30</w:t>
            </w:r>
          </w:p>
        </w:tc>
      </w:tr>
      <w:tr w:rsidR="00333282" w14:paraId="29B75111" w14:textId="77777777" w:rsidTr="003A4E53">
        <w:tc>
          <w:tcPr>
            <w:tcW w:w="8877" w:type="dxa"/>
            <w:tcBorders>
              <w:top w:val="nil"/>
              <w:left w:val="nil"/>
              <w:bottom w:val="nil"/>
              <w:right w:val="nil"/>
            </w:tcBorders>
          </w:tcPr>
          <w:p w14:paraId="5A5BB31C" w14:textId="7E30D980" w:rsidR="00333282" w:rsidRPr="002E5E4F" w:rsidRDefault="00333282" w:rsidP="000A313A">
            <w:pPr>
              <w:pStyle w:val="ListParagraph"/>
              <w:numPr>
                <w:ilvl w:val="0"/>
                <w:numId w:val="84"/>
              </w:numPr>
              <w:rPr>
                <w:rFonts w:eastAsia="Calibri" w:cs="Times New Roman"/>
                <w:bCs/>
                <w:color w:val="000000" w:themeColor="text1"/>
                <w:kern w:val="0"/>
                <w14:ligatures w14:val="none"/>
              </w:rPr>
            </w:pPr>
            <w:hyperlink w:anchor="ElectronicDevices" w:history="1">
              <w:r w:rsidRPr="002E5E4F">
                <w:rPr>
                  <w:rStyle w:val="Hyperlink"/>
                  <w:rFonts w:eastAsia="Calibri" w:cs="Times New Roman"/>
                  <w:bCs/>
                  <w:color w:val="000000" w:themeColor="text1"/>
                  <w:kern w:val="0"/>
                  <w:u w:val="none"/>
                  <w14:ligatures w14:val="none"/>
                </w:rPr>
                <w:t>Electronic</w:t>
              </w:r>
              <w:r w:rsidR="00A7783A" w:rsidRPr="002E5E4F">
                <w:rPr>
                  <w:rStyle w:val="Hyperlink"/>
                  <w:rFonts w:eastAsia="Calibri" w:cs="Times New Roman"/>
                  <w:bCs/>
                  <w:color w:val="000000" w:themeColor="text1"/>
                  <w:kern w:val="0"/>
                  <w:u w:val="none"/>
                  <w14:ligatures w14:val="none"/>
                </w:rPr>
                <w:t xml:space="preserve"> Devices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0AF30FF1" w14:textId="48E07E1A" w:rsidR="00333282"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2</w:t>
            </w:r>
          </w:p>
        </w:tc>
      </w:tr>
      <w:tr w:rsidR="00004670" w14:paraId="21717F09" w14:textId="77777777" w:rsidTr="003A4E53">
        <w:tc>
          <w:tcPr>
            <w:tcW w:w="8877" w:type="dxa"/>
            <w:tcBorders>
              <w:top w:val="nil"/>
              <w:left w:val="nil"/>
              <w:bottom w:val="nil"/>
              <w:right w:val="nil"/>
            </w:tcBorders>
          </w:tcPr>
          <w:p w14:paraId="4424D708" w14:textId="10C3726B" w:rsidR="00004670" w:rsidRPr="002E5E4F" w:rsidRDefault="000A313A" w:rsidP="000A313A">
            <w:pPr>
              <w:pStyle w:val="ListParagraph"/>
              <w:numPr>
                <w:ilvl w:val="0"/>
                <w:numId w:val="84"/>
              </w:numPr>
              <w:rPr>
                <w:rFonts w:eastAsia="Calibri" w:cs="Times New Roman"/>
                <w:bCs/>
                <w:color w:val="000000" w:themeColor="text1"/>
                <w:kern w:val="0"/>
                <w14:ligatures w14:val="none"/>
              </w:rPr>
            </w:pPr>
            <w:hyperlink w:anchor="SignsandLabels" w:history="1">
              <w:r w:rsidRPr="002E5E4F">
                <w:rPr>
                  <w:rStyle w:val="Hyperlink"/>
                  <w:rFonts w:eastAsia="Calibri" w:cs="Times New Roman"/>
                  <w:bCs/>
                  <w:color w:val="000000" w:themeColor="text1"/>
                  <w:kern w:val="0"/>
                  <w:u w:val="none"/>
                  <w14:ligatures w14:val="none"/>
                </w:rPr>
                <w:t>Signs and Labels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545A2605" w14:textId="62EFDD47"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2</w:t>
            </w:r>
          </w:p>
        </w:tc>
      </w:tr>
      <w:tr w:rsidR="00004670" w14:paraId="7449D66B" w14:textId="77777777" w:rsidTr="003A4E53">
        <w:tc>
          <w:tcPr>
            <w:tcW w:w="8877" w:type="dxa"/>
            <w:tcBorders>
              <w:top w:val="nil"/>
              <w:left w:val="nil"/>
              <w:bottom w:val="nil"/>
              <w:right w:val="nil"/>
            </w:tcBorders>
          </w:tcPr>
          <w:p w14:paraId="6AD94124" w14:textId="54205A61" w:rsidR="00004670" w:rsidRPr="002E5E4F" w:rsidRDefault="00686857" w:rsidP="000A313A">
            <w:pPr>
              <w:pStyle w:val="ListParagraph"/>
              <w:numPr>
                <w:ilvl w:val="0"/>
                <w:numId w:val="83"/>
              </w:numPr>
              <w:rPr>
                <w:rFonts w:eastAsia="Calibri" w:cs="Times New Roman"/>
                <w:bCs/>
                <w:color w:val="000000" w:themeColor="text1"/>
                <w:kern w:val="0"/>
                <w14:ligatures w14:val="none"/>
              </w:rPr>
            </w:pPr>
            <w:hyperlink w:anchor="StorageofBiohazardousMaterials" w:history="1">
              <w:r w:rsidRPr="002E5E4F">
                <w:rPr>
                  <w:rStyle w:val="Hyperlink"/>
                  <w:rFonts w:eastAsia="Calibri" w:cs="Times New Roman"/>
                  <w:bCs/>
                  <w:color w:val="000000" w:themeColor="text1"/>
                  <w:kern w:val="0"/>
                  <w:u w:val="none"/>
                  <w14:ligatures w14:val="none"/>
                </w:rPr>
                <w:t>Storage of Biohazardous Materials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2BA501FB" w14:textId="18D56E36"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3</w:t>
            </w:r>
          </w:p>
        </w:tc>
      </w:tr>
      <w:tr w:rsidR="00004670" w14:paraId="3BC4D5F3" w14:textId="77777777" w:rsidTr="003A4E53">
        <w:tc>
          <w:tcPr>
            <w:tcW w:w="8877" w:type="dxa"/>
            <w:tcBorders>
              <w:top w:val="nil"/>
              <w:left w:val="nil"/>
              <w:bottom w:val="nil"/>
              <w:right w:val="nil"/>
            </w:tcBorders>
          </w:tcPr>
          <w:p w14:paraId="4FB3B7B6" w14:textId="5A4CA380" w:rsidR="00004670" w:rsidRPr="002E5E4F" w:rsidRDefault="00686857" w:rsidP="000A313A">
            <w:pPr>
              <w:pStyle w:val="ListParagraph"/>
              <w:numPr>
                <w:ilvl w:val="0"/>
                <w:numId w:val="82"/>
              </w:numPr>
              <w:rPr>
                <w:rFonts w:eastAsia="Calibri" w:cs="Times New Roman"/>
                <w:bCs/>
                <w:color w:val="000000" w:themeColor="text1"/>
                <w:kern w:val="0"/>
                <w14:ligatures w14:val="none"/>
              </w:rPr>
            </w:pPr>
            <w:hyperlink w:anchor="IntegratedPestMgt" w:history="1">
              <w:r w:rsidRPr="002E5E4F">
                <w:rPr>
                  <w:rStyle w:val="Hyperlink"/>
                  <w:rFonts w:eastAsia="Calibri" w:cs="Times New Roman"/>
                  <w:bCs/>
                  <w:color w:val="000000" w:themeColor="text1"/>
                  <w:kern w:val="0"/>
                  <w:u w:val="none"/>
                  <w14:ligatures w14:val="none"/>
                </w:rPr>
                <w:t>Integrated Pest Management</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3C9BB03D" w14:textId="733CF3B9"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47265B">
              <w:rPr>
                <w:rFonts w:eastAsia="Calibri" w:cs="Times New Roman"/>
                <w:bCs/>
                <w:kern w:val="0"/>
                <w14:ligatures w14:val="none"/>
              </w:rPr>
              <w:t>4</w:t>
            </w:r>
          </w:p>
        </w:tc>
      </w:tr>
      <w:tr w:rsidR="00004670" w14:paraId="62455083" w14:textId="77777777" w:rsidTr="003A4E53">
        <w:tc>
          <w:tcPr>
            <w:tcW w:w="8877" w:type="dxa"/>
            <w:tcBorders>
              <w:top w:val="nil"/>
              <w:left w:val="nil"/>
              <w:bottom w:val="nil"/>
              <w:right w:val="nil"/>
            </w:tcBorders>
          </w:tcPr>
          <w:p w14:paraId="09509130" w14:textId="1FC00631" w:rsidR="00004670" w:rsidRPr="002E5E4F" w:rsidRDefault="00686857" w:rsidP="000A313A">
            <w:pPr>
              <w:pStyle w:val="ListParagraph"/>
              <w:numPr>
                <w:ilvl w:val="0"/>
                <w:numId w:val="81"/>
              </w:numPr>
              <w:rPr>
                <w:rFonts w:eastAsia="Calibri" w:cs="Times New Roman"/>
                <w:bCs/>
                <w:color w:val="000000" w:themeColor="text1"/>
                <w:kern w:val="0"/>
                <w14:ligatures w14:val="none"/>
              </w:rPr>
            </w:pPr>
            <w:hyperlink w:anchor="SOPs" w:history="1">
              <w:r w:rsidRPr="002E5E4F">
                <w:rPr>
                  <w:rStyle w:val="Hyperlink"/>
                  <w:rFonts w:eastAsia="Calibri" w:cs="Times New Roman"/>
                  <w:bCs/>
                  <w:color w:val="000000" w:themeColor="text1"/>
                  <w:kern w:val="0"/>
                  <w:u w:val="none"/>
                  <w14:ligatures w14:val="none"/>
                </w:rPr>
                <w:t>Standard Operating Procedures (SOPs</w:t>
              </w:r>
            </w:hyperlink>
            <w:r w:rsidRPr="002E5E4F">
              <w:rPr>
                <w:rFonts w:eastAsia="Calibri" w:cs="Times New Roman"/>
                <w:bCs/>
                <w:color w:val="000000" w:themeColor="text1"/>
                <w:kern w:val="0"/>
                <w14:ligatures w14:val="none"/>
              </w:rPr>
              <w:t>)</w:t>
            </w:r>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2DEA3F8" w14:textId="418FF364"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4</w:t>
            </w:r>
          </w:p>
        </w:tc>
      </w:tr>
      <w:tr w:rsidR="00004670" w14:paraId="65D924B0" w14:textId="77777777" w:rsidTr="003A4E53">
        <w:tc>
          <w:tcPr>
            <w:tcW w:w="8877" w:type="dxa"/>
            <w:tcBorders>
              <w:top w:val="nil"/>
              <w:left w:val="nil"/>
              <w:bottom w:val="nil"/>
              <w:right w:val="nil"/>
            </w:tcBorders>
          </w:tcPr>
          <w:p w14:paraId="42AFBE8E" w14:textId="42A783A2" w:rsidR="00004670" w:rsidRPr="002E5E4F" w:rsidRDefault="00686857" w:rsidP="000A313A">
            <w:pPr>
              <w:pStyle w:val="ListParagraph"/>
              <w:numPr>
                <w:ilvl w:val="0"/>
                <w:numId w:val="80"/>
              </w:numPr>
              <w:rPr>
                <w:rFonts w:eastAsia="Calibri" w:cs="Times New Roman"/>
                <w:bCs/>
                <w:color w:val="000000" w:themeColor="text1"/>
                <w:kern w:val="0"/>
                <w14:ligatures w14:val="none"/>
              </w:rPr>
            </w:pPr>
            <w:hyperlink w:anchor="Multimedia" w:history="1">
              <w:r w:rsidRPr="002E5E4F">
                <w:rPr>
                  <w:rStyle w:val="Hyperlink"/>
                  <w:rFonts w:eastAsia="Calibri" w:cs="Times New Roman"/>
                  <w:bCs/>
                  <w:color w:val="000000" w:themeColor="text1"/>
                  <w:kern w:val="0"/>
                  <w:u w:val="none"/>
                  <w14:ligatures w14:val="none"/>
                </w:rPr>
                <w:t>Multimedia Resources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6B2E2F4A" w14:textId="2577743E"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4</w:t>
            </w:r>
          </w:p>
        </w:tc>
      </w:tr>
      <w:tr w:rsidR="00004670" w14:paraId="353E1953" w14:textId="77777777" w:rsidTr="003A4E53">
        <w:tc>
          <w:tcPr>
            <w:tcW w:w="8877" w:type="dxa"/>
            <w:tcBorders>
              <w:top w:val="nil"/>
              <w:left w:val="nil"/>
              <w:bottom w:val="nil"/>
              <w:right w:val="nil"/>
            </w:tcBorders>
          </w:tcPr>
          <w:p w14:paraId="5661690D" w14:textId="1AB03C0D" w:rsidR="00004670" w:rsidRPr="002E5E4F" w:rsidRDefault="00686857" w:rsidP="000A313A">
            <w:pPr>
              <w:pStyle w:val="ListParagraph"/>
              <w:numPr>
                <w:ilvl w:val="0"/>
                <w:numId w:val="79"/>
              </w:numPr>
              <w:rPr>
                <w:rFonts w:eastAsia="Calibri" w:cs="Times New Roman"/>
                <w:bCs/>
                <w:color w:val="000000" w:themeColor="text1"/>
                <w:kern w:val="0"/>
                <w14:ligatures w14:val="none"/>
              </w:rPr>
            </w:pPr>
            <w:hyperlink w:anchor="Inspections" w:history="1">
              <w:r w:rsidRPr="002E5E4F">
                <w:rPr>
                  <w:rStyle w:val="Hyperlink"/>
                  <w:rFonts w:eastAsia="Calibri" w:cs="Times New Roman"/>
                  <w:bCs/>
                  <w:color w:val="000000" w:themeColor="text1"/>
                  <w:kern w:val="0"/>
                  <w:u w:val="none"/>
                  <w14:ligatures w14:val="none"/>
                </w:rPr>
                <w:t>Inspections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207EDE3" w14:textId="5D37AB27"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4</w:t>
            </w:r>
          </w:p>
        </w:tc>
      </w:tr>
      <w:tr w:rsidR="00004670" w14:paraId="0E7EA613" w14:textId="77777777" w:rsidTr="003A4E53">
        <w:tc>
          <w:tcPr>
            <w:tcW w:w="8877" w:type="dxa"/>
            <w:tcBorders>
              <w:top w:val="nil"/>
              <w:left w:val="nil"/>
              <w:bottom w:val="nil"/>
              <w:right w:val="nil"/>
            </w:tcBorders>
          </w:tcPr>
          <w:p w14:paraId="2A5E425F" w14:textId="57F8E5F6" w:rsidR="00004670" w:rsidRPr="002E5E4F" w:rsidRDefault="00686857" w:rsidP="00004670">
            <w:pPr>
              <w:rPr>
                <w:rFonts w:eastAsia="Calibri" w:cs="Times New Roman"/>
                <w:bCs/>
                <w:color w:val="000000" w:themeColor="text1"/>
                <w:kern w:val="0"/>
                <w14:ligatures w14:val="none"/>
              </w:rPr>
            </w:pPr>
            <w:hyperlink w:anchor="S8Equipment" w:history="1">
              <w:r w:rsidRPr="002E5E4F">
                <w:rPr>
                  <w:rStyle w:val="Hyperlink"/>
                  <w:rFonts w:eastAsia="Calibri" w:cs="Times New Roman"/>
                  <w:bCs/>
                  <w:color w:val="000000" w:themeColor="text1"/>
                  <w:kern w:val="0"/>
                  <w:u w:val="none"/>
                  <w14:ligatures w14:val="none"/>
                </w:rPr>
                <w:t>Section 8: Equipment</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D24F958" w14:textId="1973E628"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5</w:t>
            </w:r>
          </w:p>
        </w:tc>
      </w:tr>
      <w:tr w:rsidR="00004670" w14:paraId="253E08DC" w14:textId="77777777" w:rsidTr="003A4E53">
        <w:tc>
          <w:tcPr>
            <w:tcW w:w="8877" w:type="dxa"/>
            <w:tcBorders>
              <w:top w:val="nil"/>
              <w:left w:val="nil"/>
              <w:bottom w:val="nil"/>
              <w:right w:val="nil"/>
            </w:tcBorders>
          </w:tcPr>
          <w:p w14:paraId="58CF01C8" w14:textId="2EDCE279" w:rsidR="00004670" w:rsidRPr="002E5E4F" w:rsidRDefault="00686857" w:rsidP="000A313A">
            <w:pPr>
              <w:pStyle w:val="ListParagraph"/>
              <w:numPr>
                <w:ilvl w:val="0"/>
                <w:numId w:val="78"/>
              </w:numPr>
              <w:rPr>
                <w:rFonts w:eastAsia="Calibri" w:cs="Times New Roman"/>
                <w:bCs/>
                <w:color w:val="000000" w:themeColor="text1"/>
                <w:kern w:val="0"/>
                <w14:ligatures w14:val="none"/>
              </w:rPr>
            </w:pPr>
            <w:hyperlink w:anchor="Pipettes" w:history="1">
              <w:r w:rsidRPr="002E5E4F">
                <w:rPr>
                  <w:rStyle w:val="Hyperlink"/>
                  <w:rFonts w:eastAsia="Calibri" w:cs="Times New Roman"/>
                  <w:bCs/>
                  <w:color w:val="000000" w:themeColor="text1"/>
                  <w:kern w:val="0"/>
                  <w:u w:val="none"/>
                  <w14:ligatures w14:val="none"/>
                </w:rPr>
                <w:t>Pipettes</w:t>
              </w:r>
            </w:hyperlink>
            <w:r w:rsidR="00B94D6F" w:rsidRPr="002E5E4F">
              <w:rPr>
                <w:rFonts w:eastAsia="Calibri" w:cs="Times New Roman"/>
                <w:bCs/>
                <w:color w:val="000000" w:themeColor="text1"/>
                <w:kern w:val="0"/>
                <w14:ligatures w14:val="none"/>
              </w:rPr>
              <w:t>……………………………………………………………………………………………</w:t>
            </w:r>
            <w:r w:rsidR="007A4D3C">
              <w:rPr>
                <w:rFonts w:eastAsia="Calibri" w:cs="Times New Roman"/>
                <w:bCs/>
                <w:color w:val="000000" w:themeColor="text1"/>
                <w:kern w:val="0"/>
                <w14:ligatures w14:val="none"/>
              </w:rPr>
              <w:t>.</w:t>
            </w:r>
          </w:p>
        </w:tc>
        <w:tc>
          <w:tcPr>
            <w:tcW w:w="473" w:type="dxa"/>
            <w:tcBorders>
              <w:top w:val="nil"/>
              <w:left w:val="nil"/>
              <w:bottom w:val="nil"/>
              <w:right w:val="nil"/>
            </w:tcBorders>
          </w:tcPr>
          <w:p w14:paraId="18844454" w14:textId="5E5C1B09"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5</w:t>
            </w:r>
          </w:p>
        </w:tc>
      </w:tr>
      <w:tr w:rsidR="00004670" w14:paraId="1D650EF7" w14:textId="77777777" w:rsidTr="003A4E53">
        <w:tc>
          <w:tcPr>
            <w:tcW w:w="8877" w:type="dxa"/>
            <w:tcBorders>
              <w:top w:val="nil"/>
              <w:left w:val="nil"/>
              <w:bottom w:val="nil"/>
              <w:right w:val="nil"/>
            </w:tcBorders>
          </w:tcPr>
          <w:p w14:paraId="57E69831" w14:textId="396A6904" w:rsidR="00004670" w:rsidRPr="002E5E4F" w:rsidRDefault="00686857" w:rsidP="000A313A">
            <w:pPr>
              <w:pStyle w:val="ListParagraph"/>
              <w:numPr>
                <w:ilvl w:val="0"/>
                <w:numId w:val="77"/>
              </w:numPr>
              <w:rPr>
                <w:rFonts w:eastAsia="Calibri" w:cs="Times New Roman"/>
                <w:bCs/>
                <w:color w:val="000000" w:themeColor="text1"/>
                <w:kern w:val="0"/>
                <w14:ligatures w14:val="none"/>
              </w:rPr>
            </w:pPr>
            <w:hyperlink w:anchor="InlineHEPAFilter" w:history="1">
              <w:r w:rsidRPr="002E5E4F">
                <w:rPr>
                  <w:rStyle w:val="Hyperlink"/>
                  <w:rFonts w:eastAsia="Calibri" w:cs="Times New Roman"/>
                  <w:bCs/>
                  <w:color w:val="000000" w:themeColor="text1"/>
                  <w:kern w:val="0"/>
                  <w:u w:val="none"/>
                  <w14:ligatures w14:val="none"/>
                </w:rPr>
                <w:t>In-</w:t>
              </w:r>
              <w:r w:rsidR="00FB4165" w:rsidRPr="002E5E4F">
                <w:rPr>
                  <w:rStyle w:val="Hyperlink"/>
                  <w:rFonts w:eastAsia="Calibri" w:cs="Times New Roman"/>
                  <w:bCs/>
                  <w:color w:val="000000" w:themeColor="text1"/>
                  <w:kern w:val="0"/>
                  <w:u w:val="none"/>
                  <w14:ligatures w14:val="none"/>
                </w:rPr>
                <w:t>l</w:t>
              </w:r>
              <w:r w:rsidRPr="002E5E4F">
                <w:rPr>
                  <w:rStyle w:val="Hyperlink"/>
                  <w:rFonts w:eastAsia="Calibri" w:cs="Times New Roman"/>
                  <w:bCs/>
                  <w:color w:val="000000" w:themeColor="text1"/>
                  <w:kern w:val="0"/>
                  <w:u w:val="none"/>
                  <w14:ligatures w14:val="none"/>
                </w:rPr>
                <w:t>ine HEPA Fil</w:t>
              </w:r>
              <w:r w:rsidR="00A7783A" w:rsidRPr="002E5E4F">
                <w:rPr>
                  <w:rStyle w:val="Hyperlink"/>
                  <w:rFonts w:eastAsia="Calibri" w:cs="Times New Roman"/>
                  <w:bCs/>
                  <w:color w:val="000000" w:themeColor="text1"/>
                  <w:kern w:val="0"/>
                  <w:u w:val="none"/>
                  <w14:ligatures w14:val="none"/>
                </w:rPr>
                <w:t>t</w:t>
              </w:r>
              <w:r w:rsidRPr="002E5E4F">
                <w:rPr>
                  <w:rStyle w:val="Hyperlink"/>
                  <w:rFonts w:eastAsia="Calibri" w:cs="Times New Roman"/>
                  <w:bCs/>
                  <w:color w:val="000000" w:themeColor="text1"/>
                  <w:kern w:val="0"/>
                  <w:u w:val="none"/>
                  <w14:ligatures w14:val="none"/>
                </w:rPr>
                <w:t>er</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r w:rsidR="00B94D6F" w:rsidRPr="002E5E4F">
              <w:rPr>
                <w:rFonts w:eastAsia="Calibri" w:cs="Times New Roman"/>
                <w:bCs/>
                <w:color w:val="000000" w:themeColor="text1"/>
                <w:kern w:val="0"/>
                <w14:ligatures w14:val="none"/>
              </w:rPr>
              <w:t>…………………………………………………………</w:t>
            </w:r>
            <w:r w:rsidR="007A4D3C">
              <w:rPr>
                <w:rFonts w:eastAsia="Calibri" w:cs="Times New Roman"/>
                <w:bCs/>
                <w:color w:val="000000" w:themeColor="text1"/>
                <w:kern w:val="0"/>
                <w14:ligatures w14:val="none"/>
              </w:rPr>
              <w:t>.</w:t>
            </w:r>
          </w:p>
        </w:tc>
        <w:tc>
          <w:tcPr>
            <w:tcW w:w="473" w:type="dxa"/>
            <w:tcBorders>
              <w:top w:val="nil"/>
              <w:left w:val="nil"/>
              <w:bottom w:val="nil"/>
              <w:right w:val="nil"/>
            </w:tcBorders>
          </w:tcPr>
          <w:p w14:paraId="44697973" w14:textId="472B30E9"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5</w:t>
            </w:r>
          </w:p>
        </w:tc>
      </w:tr>
      <w:tr w:rsidR="00004670" w14:paraId="40F60C72" w14:textId="77777777" w:rsidTr="003A4E53">
        <w:tc>
          <w:tcPr>
            <w:tcW w:w="8877" w:type="dxa"/>
            <w:tcBorders>
              <w:top w:val="nil"/>
              <w:left w:val="nil"/>
              <w:bottom w:val="nil"/>
              <w:right w:val="nil"/>
            </w:tcBorders>
          </w:tcPr>
          <w:p w14:paraId="48FBD992" w14:textId="7432C03B" w:rsidR="00004670" w:rsidRPr="002E5E4F" w:rsidRDefault="00686857" w:rsidP="000A313A">
            <w:pPr>
              <w:pStyle w:val="ListParagraph"/>
              <w:numPr>
                <w:ilvl w:val="0"/>
                <w:numId w:val="76"/>
              </w:numPr>
              <w:rPr>
                <w:rFonts w:eastAsia="Calibri" w:cs="Times New Roman"/>
                <w:bCs/>
                <w:color w:val="000000" w:themeColor="text1"/>
                <w:kern w:val="0"/>
                <w14:ligatures w14:val="none"/>
              </w:rPr>
            </w:pPr>
            <w:hyperlink w:anchor="Sharps" w:history="1">
              <w:r w:rsidRPr="002E5E4F">
                <w:rPr>
                  <w:rStyle w:val="Hyperlink"/>
                  <w:rFonts w:eastAsia="Calibri" w:cs="Times New Roman"/>
                  <w:bCs/>
                  <w:color w:val="000000" w:themeColor="text1"/>
                  <w:kern w:val="0"/>
                  <w:u w:val="none"/>
                  <w14:ligatures w14:val="none"/>
                </w:rPr>
                <w:t>Sharps</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00D68697" w14:textId="27547A6D"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5</w:t>
            </w:r>
          </w:p>
        </w:tc>
      </w:tr>
      <w:tr w:rsidR="00004670" w14:paraId="7C21C129" w14:textId="77777777" w:rsidTr="003A4E53">
        <w:tc>
          <w:tcPr>
            <w:tcW w:w="8877" w:type="dxa"/>
            <w:tcBorders>
              <w:top w:val="nil"/>
              <w:left w:val="nil"/>
              <w:bottom w:val="nil"/>
              <w:right w:val="nil"/>
            </w:tcBorders>
          </w:tcPr>
          <w:p w14:paraId="73D2C6D8" w14:textId="1C7EC11E" w:rsidR="00004670" w:rsidRPr="002E5E4F" w:rsidRDefault="00686857" w:rsidP="000A313A">
            <w:pPr>
              <w:pStyle w:val="ListParagraph"/>
              <w:numPr>
                <w:ilvl w:val="0"/>
                <w:numId w:val="75"/>
              </w:numPr>
              <w:rPr>
                <w:rFonts w:eastAsia="Calibri" w:cs="Times New Roman"/>
                <w:bCs/>
                <w:color w:val="000000" w:themeColor="text1"/>
                <w:kern w:val="0"/>
                <w14:ligatures w14:val="none"/>
              </w:rPr>
            </w:pPr>
            <w:hyperlink w:anchor="BSC" w:history="1">
              <w:r w:rsidRPr="002E5E4F">
                <w:rPr>
                  <w:rStyle w:val="Hyperlink"/>
                  <w:rFonts w:eastAsia="Calibri" w:cs="Times New Roman"/>
                  <w:bCs/>
                  <w:color w:val="000000" w:themeColor="text1"/>
                  <w:kern w:val="0"/>
                  <w:u w:val="none"/>
                  <w14:ligatures w14:val="none"/>
                </w:rPr>
                <w:t>Biological Safety Cabinets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823452D" w14:textId="0BF29B93"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6</w:t>
            </w:r>
          </w:p>
        </w:tc>
      </w:tr>
      <w:tr w:rsidR="00004670" w14:paraId="4F40942F" w14:textId="77777777" w:rsidTr="003A4E53">
        <w:tc>
          <w:tcPr>
            <w:tcW w:w="8877" w:type="dxa"/>
            <w:tcBorders>
              <w:top w:val="nil"/>
              <w:left w:val="nil"/>
              <w:bottom w:val="nil"/>
              <w:right w:val="nil"/>
            </w:tcBorders>
          </w:tcPr>
          <w:p w14:paraId="35FC3ECD" w14:textId="2E74A71B" w:rsidR="00004670" w:rsidRPr="002E5E4F" w:rsidRDefault="00686857" w:rsidP="000A313A">
            <w:pPr>
              <w:pStyle w:val="ListParagraph"/>
              <w:numPr>
                <w:ilvl w:val="0"/>
                <w:numId w:val="74"/>
              </w:numPr>
              <w:rPr>
                <w:rFonts w:eastAsia="Calibri" w:cs="Times New Roman"/>
                <w:bCs/>
                <w:color w:val="000000" w:themeColor="text1"/>
                <w:kern w:val="0"/>
                <w14:ligatures w14:val="none"/>
              </w:rPr>
            </w:pPr>
            <w:hyperlink w:anchor="Centrifuge" w:history="1">
              <w:r w:rsidRPr="002E5E4F">
                <w:rPr>
                  <w:rStyle w:val="Hyperlink"/>
                  <w:rFonts w:eastAsia="Calibri" w:cs="Times New Roman"/>
                  <w:bCs/>
                  <w:color w:val="000000" w:themeColor="text1"/>
                  <w:kern w:val="0"/>
                  <w:u w:val="none"/>
                  <w14:ligatures w14:val="none"/>
                </w:rPr>
                <w:t>Centrifuges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29021085" w14:textId="41BA49C1" w:rsidR="00004670" w:rsidRPr="00004670" w:rsidRDefault="00FB4165" w:rsidP="0050730A">
            <w:pPr>
              <w:jc w:val="cente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6</w:t>
            </w:r>
          </w:p>
        </w:tc>
      </w:tr>
      <w:tr w:rsidR="00004670" w14:paraId="737AD9A2" w14:textId="77777777" w:rsidTr="003A4E53">
        <w:tc>
          <w:tcPr>
            <w:tcW w:w="8877" w:type="dxa"/>
            <w:tcBorders>
              <w:top w:val="nil"/>
              <w:left w:val="nil"/>
              <w:bottom w:val="nil"/>
              <w:right w:val="nil"/>
            </w:tcBorders>
          </w:tcPr>
          <w:p w14:paraId="7B81AF0E" w14:textId="01BE3568" w:rsidR="00004670" w:rsidRPr="002E5E4F" w:rsidRDefault="00686857" w:rsidP="000A313A">
            <w:pPr>
              <w:pStyle w:val="ListParagraph"/>
              <w:numPr>
                <w:ilvl w:val="0"/>
                <w:numId w:val="73"/>
              </w:numPr>
              <w:rPr>
                <w:rFonts w:eastAsia="Calibri" w:cs="Times New Roman"/>
                <w:bCs/>
                <w:color w:val="000000" w:themeColor="text1"/>
                <w:kern w:val="0"/>
                <w14:ligatures w14:val="none"/>
              </w:rPr>
            </w:pPr>
            <w:hyperlink w:anchor="Blenders" w:history="1">
              <w:r w:rsidRPr="002E5E4F">
                <w:rPr>
                  <w:rStyle w:val="Hyperlink"/>
                  <w:rFonts w:eastAsia="Calibri" w:cs="Times New Roman"/>
                  <w:bCs/>
                  <w:color w:val="000000" w:themeColor="text1"/>
                  <w:kern w:val="0"/>
                  <w:u w:val="none"/>
                  <w14:ligatures w14:val="none"/>
                </w:rPr>
                <w:t>Blenders, Ultrasonic Disrupters, Grinders &amp; Lyophilizers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3925A013" w14:textId="477C3C09" w:rsidR="00004670" w:rsidRPr="00004670" w:rsidRDefault="00FB4165" w:rsidP="00004670">
            <w:pP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7</w:t>
            </w:r>
          </w:p>
        </w:tc>
      </w:tr>
      <w:tr w:rsidR="00004670" w14:paraId="56445BB5" w14:textId="77777777" w:rsidTr="003A4E53">
        <w:tc>
          <w:tcPr>
            <w:tcW w:w="8877" w:type="dxa"/>
            <w:tcBorders>
              <w:top w:val="nil"/>
              <w:left w:val="nil"/>
              <w:bottom w:val="nil"/>
              <w:right w:val="nil"/>
            </w:tcBorders>
          </w:tcPr>
          <w:p w14:paraId="4AFC08CC" w14:textId="26BDD074" w:rsidR="00004670" w:rsidRPr="002E5E4F" w:rsidRDefault="00686857" w:rsidP="000A313A">
            <w:pPr>
              <w:pStyle w:val="ListParagraph"/>
              <w:numPr>
                <w:ilvl w:val="0"/>
                <w:numId w:val="72"/>
              </w:numPr>
              <w:rPr>
                <w:rFonts w:eastAsia="Calibri" w:cs="Times New Roman"/>
                <w:bCs/>
                <w:color w:val="000000" w:themeColor="text1"/>
                <w:kern w:val="0"/>
                <w14:ligatures w14:val="none"/>
              </w:rPr>
            </w:pPr>
            <w:hyperlink w:anchor="Microscopes" w:history="1">
              <w:r w:rsidRPr="002E5E4F">
                <w:rPr>
                  <w:rStyle w:val="Hyperlink"/>
                  <w:rFonts w:eastAsia="Calibri" w:cs="Times New Roman"/>
                  <w:bCs/>
                  <w:color w:val="000000" w:themeColor="text1"/>
                  <w:kern w:val="0"/>
                  <w:u w:val="none"/>
                  <w14:ligatures w14:val="none"/>
                </w:rPr>
                <w:t>Microscopes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41EA5825" w14:textId="28495F58" w:rsidR="00004670" w:rsidRPr="00004670" w:rsidRDefault="00FB4165" w:rsidP="00004670">
            <w:pP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7</w:t>
            </w:r>
          </w:p>
        </w:tc>
      </w:tr>
      <w:tr w:rsidR="00004670" w14:paraId="6B78B9BF" w14:textId="77777777" w:rsidTr="003A4E53">
        <w:tc>
          <w:tcPr>
            <w:tcW w:w="8877" w:type="dxa"/>
            <w:tcBorders>
              <w:top w:val="nil"/>
              <w:left w:val="nil"/>
              <w:bottom w:val="nil"/>
              <w:right w:val="nil"/>
            </w:tcBorders>
          </w:tcPr>
          <w:p w14:paraId="177F078C" w14:textId="249ABEA9" w:rsidR="00004670" w:rsidRPr="002E5E4F" w:rsidRDefault="00686857" w:rsidP="000A313A">
            <w:pPr>
              <w:pStyle w:val="ListParagraph"/>
              <w:numPr>
                <w:ilvl w:val="0"/>
                <w:numId w:val="71"/>
              </w:numPr>
              <w:rPr>
                <w:rFonts w:eastAsia="Calibri" w:cs="Times New Roman"/>
                <w:bCs/>
                <w:color w:val="000000" w:themeColor="text1"/>
                <w:kern w:val="0"/>
                <w14:ligatures w14:val="none"/>
              </w:rPr>
            </w:pPr>
            <w:hyperlink w:anchor="Microtomes" w:history="1">
              <w:r w:rsidRPr="002E5E4F">
                <w:rPr>
                  <w:rStyle w:val="Hyperlink"/>
                  <w:rFonts w:eastAsia="Calibri" w:cs="Times New Roman"/>
                  <w:bCs/>
                  <w:color w:val="000000" w:themeColor="text1"/>
                  <w:kern w:val="0"/>
                  <w:u w:val="none"/>
                  <w14:ligatures w14:val="none"/>
                </w:rPr>
                <w:t>Microtomes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F5142B3" w14:textId="7D5142E7" w:rsidR="00004670" w:rsidRPr="00004670" w:rsidRDefault="00FB4165" w:rsidP="00004670">
            <w:pP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7</w:t>
            </w:r>
          </w:p>
        </w:tc>
      </w:tr>
      <w:tr w:rsidR="00004670" w14:paraId="50482ACB" w14:textId="77777777" w:rsidTr="003A4E53">
        <w:tc>
          <w:tcPr>
            <w:tcW w:w="8877" w:type="dxa"/>
            <w:tcBorders>
              <w:top w:val="nil"/>
              <w:left w:val="nil"/>
              <w:bottom w:val="nil"/>
              <w:right w:val="nil"/>
            </w:tcBorders>
          </w:tcPr>
          <w:p w14:paraId="117AC3CF" w14:textId="4E6CA8C2" w:rsidR="00004670" w:rsidRPr="002E5E4F" w:rsidRDefault="00686857" w:rsidP="000A313A">
            <w:pPr>
              <w:pStyle w:val="ListParagraph"/>
              <w:numPr>
                <w:ilvl w:val="0"/>
                <w:numId w:val="70"/>
              </w:numPr>
              <w:rPr>
                <w:rFonts w:eastAsia="Calibri" w:cs="Times New Roman"/>
                <w:bCs/>
                <w:color w:val="000000" w:themeColor="text1"/>
                <w:kern w:val="0"/>
                <w14:ligatures w14:val="none"/>
              </w:rPr>
            </w:pPr>
            <w:hyperlink w:anchor="Cryostats" w:history="1">
              <w:r w:rsidRPr="002E5E4F">
                <w:rPr>
                  <w:rStyle w:val="Hyperlink"/>
                  <w:rFonts w:eastAsia="Calibri" w:cs="Times New Roman"/>
                  <w:bCs/>
                  <w:color w:val="000000" w:themeColor="text1"/>
                  <w:kern w:val="0"/>
                  <w:u w:val="none"/>
                  <w14:ligatures w14:val="none"/>
                </w:rPr>
                <w:t>Cryostats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2DB69393" w14:textId="2F1EDA94" w:rsidR="00004670" w:rsidRPr="00004670" w:rsidRDefault="00FB4165" w:rsidP="00004670">
            <w:pP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7</w:t>
            </w:r>
          </w:p>
        </w:tc>
      </w:tr>
      <w:tr w:rsidR="00004670" w14:paraId="42F9F520" w14:textId="77777777" w:rsidTr="003A4E53">
        <w:tc>
          <w:tcPr>
            <w:tcW w:w="8877" w:type="dxa"/>
            <w:tcBorders>
              <w:top w:val="nil"/>
              <w:left w:val="nil"/>
              <w:bottom w:val="nil"/>
              <w:right w:val="nil"/>
            </w:tcBorders>
          </w:tcPr>
          <w:p w14:paraId="7B9E9704" w14:textId="6D356FD1" w:rsidR="00004670" w:rsidRPr="002E5E4F" w:rsidRDefault="00686857" w:rsidP="000A313A">
            <w:pPr>
              <w:pStyle w:val="ListParagraph"/>
              <w:numPr>
                <w:ilvl w:val="0"/>
                <w:numId w:val="69"/>
              </w:numPr>
              <w:rPr>
                <w:rFonts w:eastAsia="Calibri" w:cs="Times New Roman"/>
                <w:bCs/>
                <w:color w:val="000000" w:themeColor="text1"/>
                <w:kern w:val="0"/>
                <w14:ligatures w14:val="none"/>
              </w:rPr>
            </w:pPr>
            <w:hyperlink w:anchor="Bunsen" w:history="1">
              <w:r w:rsidRPr="002E5E4F">
                <w:rPr>
                  <w:rStyle w:val="Hyperlink"/>
                  <w:rFonts w:eastAsia="Calibri" w:cs="Times New Roman"/>
                  <w:bCs/>
                  <w:color w:val="000000" w:themeColor="text1"/>
                  <w:kern w:val="0"/>
                  <w:u w:val="none"/>
                  <w14:ligatures w14:val="none"/>
                </w:rPr>
                <w:t>Bunsen Burners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0E147C87" w14:textId="11755623" w:rsidR="00004670" w:rsidRPr="00004670" w:rsidRDefault="00FB4165" w:rsidP="00004670">
            <w:pP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8</w:t>
            </w:r>
          </w:p>
        </w:tc>
      </w:tr>
      <w:tr w:rsidR="00004670" w14:paraId="3AEF7999" w14:textId="77777777" w:rsidTr="003A4E53">
        <w:tc>
          <w:tcPr>
            <w:tcW w:w="8877" w:type="dxa"/>
            <w:tcBorders>
              <w:top w:val="nil"/>
              <w:left w:val="nil"/>
              <w:bottom w:val="nil"/>
              <w:right w:val="nil"/>
            </w:tcBorders>
          </w:tcPr>
          <w:p w14:paraId="0A3D9B4E" w14:textId="16F8FB3F" w:rsidR="00004670" w:rsidRPr="002E5E4F" w:rsidRDefault="00686857" w:rsidP="000A313A">
            <w:pPr>
              <w:pStyle w:val="ListParagraph"/>
              <w:numPr>
                <w:ilvl w:val="0"/>
                <w:numId w:val="68"/>
              </w:numPr>
              <w:rPr>
                <w:rFonts w:eastAsia="Calibri" w:cs="Times New Roman"/>
                <w:bCs/>
                <w:color w:val="000000" w:themeColor="text1"/>
                <w:kern w:val="0"/>
                <w14:ligatures w14:val="none"/>
              </w:rPr>
            </w:pPr>
            <w:hyperlink w:anchor="OpenFlameinBSC" w:history="1">
              <w:r w:rsidRPr="002E5E4F">
                <w:rPr>
                  <w:rStyle w:val="Hyperlink"/>
                  <w:rFonts w:eastAsia="Calibri" w:cs="Times New Roman"/>
                  <w:bCs/>
                  <w:color w:val="000000" w:themeColor="text1"/>
                  <w:kern w:val="0"/>
                  <w:u w:val="none"/>
                  <w14:ligatures w14:val="none"/>
                </w:rPr>
                <w:t>Open Flames in Biosafety Cabinets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87BA82B" w14:textId="1AEFB04B" w:rsidR="00004670" w:rsidRPr="00004670" w:rsidRDefault="00FB4165" w:rsidP="00004670">
            <w:pP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8</w:t>
            </w:r>
          </w:p>
        </w:tc>
      </w:tr>
      <w:tr w:rsidR="00004670" w14:paraId="570B841D" w14:textId="77777777" w:rsidTr="003A4E53">
        <w:tc>
          <w:tcPr>
            <w:tcW w:w="8877" w:type="dxa"/>
            <w:tcBorders>
              <w:top w:val="nil"/>
              <w:left w:val="nil"/>
              <w:bottom w:val="nil"/>
              <w:right w:val="nil"/>
            </w:tcBorders>
          </w:tcPr>
          <w:p w14:paraId="1018C5B7" w14:textId="4892278D" w:rsidR="00004670" w:rsidRPr="002E5E4F" w:rsidRDefault="00686857" w:rsidP="000A313A">
            <w:pPr>
              <w:pStyle w:val="ListParagraph"/>
              <w:numPr>
                <w:ilvl w:val="0"/>
                <w:numId w:val="67"/>
              </w:numPr>
              <w:rPr>
                <w:rFonts w:eastAsia="Calibri" w:cs="Times New Roman"/>
                <w:bCs/>
                <w:color w:val="000000" w:themeColor="text1"/>
                <w:kern w:val="0"/>
                <w14:ligatures w14:val="none"/>
              </w:rPr>
            </w:pPr>
            <w:hyperlink w:anchor="EquipMaint" w:history="1">
              <w:r w:rsidRPr="002E5E4F">
                <w:rPr>
                  <w:rStyle w:val="Hyperlink"/>
                  <w:rFonts w:eastAsia="Calibri" w:cs="Times New Roman"/>
                  <w:bCs/>
                  <w:color w:val="000000" w:themeColor="text1"/>
                  <w:kern w:val="0"/>
                  <w:u w:val="none"/>
                  <w14:ligatures w14:val="none"/>
                </w:rPr>
                <w:t>Equipment Maintenance</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2165BCDF" w14:textId="11FBD4FF" w:rsidR="00004670" w:rsidRPr="00004670" w:rsidRDefault="00FB4165" w:rsidP="00004670">
            <w:pPr>
              <w:rPr>
                <w:rFonts w:eastAsia="Calibri" w:cs="Times New Roman"/>
                <w:bCs/>
                <w:kern w:val="0"/>
                <w14:ligatures w14:val="none"/>
              </w:rPr>
            </w:pPr>
            <w:r>
              <w:rPr>
                <w:rFonts w:eastAsia="Calibri" w:cs="Times New Roman"/>
                <w:bCs/>
                <w:kern w:val="0"/>
                <w14:ligatures w14:val="none"/>
              </w:rPr>
              <w:t>38</w:t>
            </w:r>
          </w:p>
        </w:tc>
      </w:tr>
      <w:tr w:rsidR="00004670" w14:paraId="7D921D76" w14:textId="77777777" w:rsidTr="003A4E53">
        <w:tc>
          <w:tcPr>
            <w:tcW w:w="8877" w:type="dxa"/>
            <w:tcBorders>
              <w:top w:val="nil"/>
              <w:left w:val="nil"/>
              <w:bottom w:val="nil"/>
              <w:right w:val="nil"/>
            </w:tcBorders>
          </w:tcPr>
          <w:p w14:paraId="6FD822DA" w14:textId="06FA1B71" w:rsidR="00004670" w:rsidRPr="002E5E4F" w:rsidRDefault="00686857" w:rsidP="000A313A">
            <w:pPr>
              <w:pStyle w:val="ListParagraph"/>
              <w:numPr>
                <w:ilvl w:val="0"/>
                <w:numId w:val="66"/>
              </w:numPr>
              <w:rPr>
                <w:rFonts w:eastAsia="Calibri" w:cs="Times New Roman"/>
                <w:bCs/>
                <w:color w:val="000000" w:themeColor="text1"/>
                <w:kern w:val="0"/>
                <w14:ligatures w14:val="none"/>
              </w:rPr>
            </w:pPr>
            <w:hyperlink w:anchor="OtherHazards" w:history="1">
              <w:r w:rsidRPr="002E5E4F">
                <w:rPr>
                  <w:rStyle w:val="Hyperlink"/>
                  <w:rFonts w:eastAsia="Calibri" w:cs="Times New Roman"/>
                  <w:bCs/>
                  <w:color w:val="000000" w:themeColor="text1"/>
                  <w:kern w:val="0"/>
                  <w:u w:val="none"/>
                  <w14:ligatures w14:val="none"/>
                </w:rPr>
                <w:t>Other Hazards</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51BDE8A0" w14:textId="6DAFB2F3" w:rsidR="00004670" w:rsidRPr="00004670" w:rsidRDefault="00FB4165" w:rsidP="00004670">
            <w:pPr>
              <w:rPr>
                <w:rFonts w:eastAsia="Calibri" w:cs="Times New Roman"/>
                <w:bCs/>
                <w:kern w:val="0"/>
                <w14:ligatures w14:val="none"/>
              </w:rPr>
            </w:pPr>
            <w:r>
              <w:rPr>
                <w:rFonts w:eastAsia="Calibri" w:cs="Times New Roman"/>
                <w:bCs/>
                <w:kern w:val="0"/>
                <w14:ligatures w14:val="none"/>
              </w:rPr>
              <w:t>3</w:t>
            </w:r>
            <w:r w:rsidR="00EF3FC5">
              <w:rPr>
                <w:rFonts w:eastAsia="Calibri" w:cs="Times New Roman"/>
                <w:bCs/>
                <w:kern w:val="0"/>
                <w14:ligatures w14:val="none"/>
              </w:rPr>
              <w:t>9</w:t>
            </w:r>
          </w:p>
        </w:tc>
      </w:tr>
      <w:tr w:rsidR="00004670" w14:paraId="5271C338" w14:textId="77777777" w:rsidTr="003A4E53">
        <w:tc>
          <w:tcPr>
            <w:tcW w:w="8877" w:type="dxa"/>
            <w:tcBorders>
              <w:top w:val="nil"/>
              <w:left w:val="nil"/>
              <w:bottom w:val="nil"/>
              <w:right w:val="nil"/>
            </w:tcBorders>
          </w:tcPr>
          <w:p w14:paraId="698121D0" w14:textId="3894B691" w:rsidR="00004670" w:rsidRPr="002E5E4F" w:rsidRDefault="00686857" w:rsidP="000A313A">
            <w:pPr>
              <w:pStyle w:val="ListParagraph"/>
              <w:numPr>
                <w:ilvl w:val="0"/>
                <w:numId w:val="65"/>
              </w:numPr>
              <w:rPr>
                <w:rFonts w:eastAsia="Calibri" w:cs="Times New Roman"/>
                <w:bCs/>
                <w:color w:val="000000" w:themeColor="text1"/>
                <w:kern w:val="0"/>
                <w14:ligatures w14:val="none"/>
              </w:rPr>
            </w:pPr>
            <w:hyperlink w:anchor="CleaningandDecontam" w:history="1">
              <w:r w:rsidRPr="002E5E4F">
                <w:rPr>
                  <w:rStyle w:val="Hyperlink"/>
                  <w:rFonts w:eastAsia="Calibri" w:cs="Times New Roman"/>
                  <w:bCs/>
                  <w:color w:val="000000" w:themeColor="text1"/>
                  <w:kern w:val="0"/>
                  <w:u w:val="none"/>
                  <w14:ligatures w14:val="none"/>
                </w:rPr>
                <w:t>Cleaning &amp; Decontamination</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19FB22C6" w14:textId="31ECF036" w:rsidR="00004670" w:rsidRPr="00004670" w:rsidRDefault="00EF3FC5" w:rsidP="00004670">
            <w:pPr>
              <w:rPr>
                <w:rFonts w:eastAsia="Calibri" w:cs="Times New Roman"/>
                <w:bCs/>
                <w:kern w:val="0"/>
                <w14:ligatures w14:val="none"/>
              </w:rPr>
            </w:pPr>
            <w:r>
              <w:rPr>
                <w:rFonts w:eastAsia="Calibri" w:cs="Times New Roman"/>
                <w:bCs/>
                <w:kern w:val="0"/>
                <w14:ligatures w14:val="none"/>
              </w:rPr>
              <w:t>40</w:t>
            </w:r>
          </w:p>
        </w:tc>
      </w:tr>
      <w:tr w:rsidR="00004670" w14:paraId="2C042532" w14:textId="77777777" w:rsidTr="003A4E53">
        <w:tc>
          <w:tcPr>
            <w:tcW w:w="8877" w:type="dxa"/>
            <w:tcBorders>
              <w:top w:val="nil"/>
              <w:left w:val="nil"/>
              <w:bottom w:val="nil"/>
              <w:right w:val="nil"/>
            </w:tcBorders>
          </w:tcPr>
          <w:p w14:paraId="715B2B82" w14:textId="205618AF" w:rsidR="00004670" w:rsidRPr="002E5E4F" w:rsidRDefault="00686857" w:rsidP="00004670">
            <w:pPr>
              <w:rPr>
                <w:rFonts w:eastAsia="Calibri" w:cs="Times New Roman"/>
                <w:bCs/>
                <w:color w:val="000000" w:themeColor="text1"/>
                <w:kern w:val="0"/>
                <w14:ligatures w14:val="none"/>
              </w:rPr>
            </w:pPr>
            <w:hyperlink w:anchor="S9BiohazardousWaste" w:history="1">
              <w:r w:rsidRPr="002E5E4F">
                <w:rPr>
                  <w:rStyle w:val="Hyperlink"/>
                  <w:rFonts w:eastAsia="Calibri" w:cs="Times New Roman"/>
                  <w:bCs/>
                  <w:color w:val="000000" w:themeColor="text1"/>
                  <w:kern w:val="0"/>
                  <w:u w:val="none"/>
                  <w14:ligatures w14:val="none"/>
                </w:rPr>
                <w:t>Section 9: Biohazardous Waste</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51A11735" w14:textId="3AD87849" w:rsidR="00004670" w:rsidRPr="00004670" w:rsidRDefault="00FB4165" w:rsidP="00004670">
            <w:pPr>
              <w:rPr>
                <w:rFonts w:eastAsia="Calibri" w:cs="Times New Roman"/>
                <w:bCs/>
                <w:kern w:val="0"/>
                <w14:ligatures w14:val="none"/>
              </w:rPr>
            </w:pPr>
            <w:r>
              <w:rPr>
                <w:rFonts w:eastAsia="Calibri" w:cs="Times New Roman"/>
                <w:bCs/>
                <w:kern w:val="0"/>
                <w14:ligatures w14:val="none"/>
              </w:rPr>
              <w:t>4</w:t>
            </w:r>
            <w:r w:rsidR="00EF3FC5">
              <w:rPr>
                <w:rFonts w:eastAsia="Calibri" w:cs="Times New Roman"/>
                <w:bCs/>
                <w:kern w:val="0"/>
                <w14:ligatures w14:val="none"/>
              </w:rPr>
              <w:t>1</w:t>
            </w:r>
          </w:p>
        </w:tc>
      </w:tr>
      <w:tr w:rsidR="00004670" w14:paraId="40B1B659" w14:textId="77777777" w:rsidTr="003A4E53">
        <w:tc>
          <w:tcPr>
            <w:tcW w:w="8877" w:type="dxa"/>
            <w:tcBorders>
              <w:top w:val="nil"/>
              <w:left w:val="nil"/>
              <w:bottom w:val="nil"/>
              <w:right w:val="nil"/>
            </w:tcBorders>
          </w:tcPr>
          <w:p w14:paraId="4E38F7A3" w14:textId="78D8356A" w:rsidR="00004670" w:rsidRPr="002E5E4F" w:rsidRDefault="00686857" w:rsidP="00004670">
            <w:pPr>
              <w:rPr>
                <w:rFonts w:eastAsia="Calibri" w:cs="Times New Roman"/>
                <w:bCs/>
                <w:color w:val="000000" w:themeColor="text1"/>
                <w:kern w:val="0"/>
                <w14:ligatures w14:val="none"/>
              </w:rPr>
            </w:pPr>
            <w:hyperlink w:anchor="S10ResearchAnimals" w:history="1">
              <w:r w:rsidRPr="002E5E4F">
                <w:rPr>
                  <w:rStyle w:val="Hyperlink"/>
                  <w:rFonts w:eastAsia="Calibri" w:cs="Times New Roman"/>
                  <w:bCs/>
                  <w:color w:val="000000" w:themeColor="text1"/>
                  <w:kern w:val="0"/>
                  <w:u w:val="none"/>
                  <w14:ligatures w14:val="none"/>
                </w:rPr>
                <w:t>Section 10: Research Animals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7A80F7DC" w14:textId="553EDEF6" w:rsidR="00004670" w:rsidRPr="00004670" w:rsidRDefault="00FB4165" w:rsidP="00004670">
            <w:pPr>
              <w:rPr>
                <w:rFonts w:eastAsia="Calibri" w:cs="Times New Roman"/>
                <w:bCs/>
                <w:kern w:val="0"/>
                <w14:ligatures w14:val="none"/>
              </w:rPr>
            </w:pPr>
            <w:r>
              <w:rPr>
                <w:rFonts w:eastAsia="Calibri" w:cs="Times New Roman"/>
                <w:bCs/>
                <w:kern w:val="0"/>
                <w14:ligatures w14:val="none"/>
              </w:rPr>
              <w:t>4</w:t>
            </w:r>
            <w:r w:rsidR="00EF3FC5">
              <w:rPr>
                <w:rFonts w:eastAsia="Calibri" w:cs="Times New Roman"/>
                <w:bCs/>
                <w:kern w:val="0"/>
                <w14:ligatures w14:val="none"/>
              </w:rPr>
              <w:t>3</w:t>
            </w:r>
          </w:p>
        </w:tc>
      </w:tr>
      <w:tr w:rsidR="00686857" w14:paraId="7B5507DF" w14:textId="77777777" w:rsidTr="003A4E53">
        <w:tc>
          <w:tcPr>
            <w:tcW w:w="8877" w:type="dxa"/>
            <w:tcBorders>
              <w:top w:val="nil"/>
              <w:left w:val="nil"/>
              <w:bottom w:val="nil"/>
              <w:right w:val="nil"/>
            </w:tcBorders>
          </w:tcPr>
          <w:p w14:paraId="7CAD3EE2" w14:textId="1B6F6CDD" w:rsidR="00686857" w:rsidRPr="002E5E4F" w:rsidRDefault="00686857" w:rsidP="00686857">
            <w:pPr>
              <w:rPr>
                <w:rFonts w:eastAsia="Calibri" w:cs="Times New Roman"/>
                <w:bCs/>
                <w:color w:val="000000" w:themeColor="text1"/>
                <w:kern w:val="0"/>
                <w14:ligatures w14:val="none"/>
              </w:rPr>
            </w:pPr>
            <w:hyperlink w:anchor="S11MedicalSurveillance" w:history="1">
              <w:r w:rsidRPr="002E5E4F">
                <w:rPr>
                  <w:rStyle w:val="Hyperlink"/>
                  <w:rFonts w:eastAsia="Calibri" w:cs="Times New Roman"/>
                  <w:bCs/>
                  <w:color w:val="000000" w:themeColor="text1"/>
                  <w:kern w:val="0"/>
                  <w:u w:val="none"/>
                  <w14:ligatures w14:val="none"/>
                </w:rPr>
                <w:t>Section 11: Medical Surveillance</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1D525A0B" w14:textId="43B23C24" w:rsidR="00686857" w:rsidRPr="00004670" w:rsidRDefault="00FB4165" w:rsidP="00686857">
            <w:pPr>
              <w:rPr>
                <w:rFonts w:eastAsia="Calibri" w:cs="Times New Roman"/>
                <w:bCs/>
                <w:kern w:val="0"/>
                <w14:ligatures w14:val="none"/>
              </w:rPr>
            </w:pPr>
            <w:r>
              <w:rPr>
                <w:rFonts w:eastAsia="Calibri" w:cs="Times New Roman"/>
                <w:bCs/>
                <w:kern w:val="0"/>
                <w14:ligatures w14:val="none"/>
              </w:rPr>
              <w:t>4</w:t>
            </w:r>
            <w:r w:rsidR="00EF3FC5">
              <w:rPr>
                <w:rFonts w:eastAsia="Calibri" w:cs="Times New Roman"/>
                <w:bCs/>
                <w:kern w:val="0"/>
                <w14:ligatures w14:val="none"/>
              </w:rPr>
              <w:t>5</w:t>
            </w:r>
          </w:p>
        </w:tc>
      </w:tr>
      <w:tr w:rsidR="00686857" w14:paraId="323EB2F9" w14:textId="77777777" w:rsidTr="003A4E53">
        <w:tc>
          <w:tcPr>
            <w:tcW w:w="8877" w:type="dxa"/>
            <w:tcBorders>
              <w:top w:val="nil"/>
              <w:left w:val="nil"/>
              <w:bottom w:val="nil"/>
              <w:right w:val="nil"/>
            </w:tcBorders>
          </w:tcPr>
          <w:p w14:paraId="081BF8D7" w14:textId="28774A3D" w:rsidR="00686857" w:rsidRPr="002E5E4F" w:rsidRDefault="00686857" w:rsidP="00686857">
            <w:pPr>
              <w:rPr>
                <w:rFonts w:eastAsia="Calibri" w:cs="Times New Roman"/>
                <w:bCs/>
                <w:color w:val="000000" w:themeColor="text1"/>
                <w:kern w:val="0"/>
                <w14:ligatures w14:val="none"/>
              </w:rPr>
            </w:pPr>
            <w:hyperlink w:anchor="S12EmergManag" w:history="1">
              <w:r w:rsidRPr="002E5E4F">
                <w:rPr>
                  <w:rStyle w:val="Hyperlink"/>
                  <w:rFonts w:eastAsia="Calibri" w:cs="Times New Roman"/>
                  <w:bCs/>
                  <w:color w:val="000000" w:themeColor="text1"/>
                  <w:kern w:val="0"/>
                  <w:u w:val="none"/>
                  <w14:ligatures w14:val="none"/>
                </w:rPr>
                <w:t>Section 12: Emergency Management</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34260947" w14:textId="29CE2DB0" w:rsidR="00686857" w:rsidRPr="00004670" w:rsidRDefault="00FB4165" w:rsidP="00686857">
            <w:pPr>
              <w:rPr>
                <w:rFonts w:eastAsia="Calibri" w:cs="Times New Roman"/>
                <w:bCs/>
                <w:kern w:val="0"/>
                <w14:ligatures w14:val="none"/>
              </w:rPr>
            </w:pPr>
            <w:r>
              <w:rPr>
                <w:rFonts w:eastAsia="Calibri" w:cs="Times New Roman"/>
                <w:bCs/>
                <w:kern w:val="0"/>
                <w14:ligatures w14:val="none"/>
              </w:rPr>
              <w:t>4</w:t>
            </w:r>
            <w:r w:rsidR="00EF3FC5">
              <w:rPr>
                <w:rFonts w:eastAsia="Calibri" w:cs="Times New Roman"/>
                <w:bCs/>
                <w:kern w:val="0"/>
                <w14:ligatures w14:val="none"/>
              </w:rPr>
              <w:t>6</w:t>
            </w:r>
          </w:p>
        </w:tc>
      </w:tr>
      <w:tr w:rsidR="00004670" w14:paraId="66D717EE" w14:textId="77777777" w:rsidTr="003A4E53">
        <w:tc>
          <w:tcPr>
            <w:tcW w:w="8877" w:type="dxa"/>
            <w:tcBorders>
              <w:top w:val="nil"/>
              <w:left w:val="nil"/>
              <w:bottom w:val="nil"/>
              <w:right w:val="nil"/>
            </w:tcBorders>
          </w:tcPr>
          <w:p w14:paraId="3A9733AD" w14:textId="1DF64554" w:rsidR="00004670" w:rsidRPr="002E5E4F" w:rsidRDefault="00686857" w:rsidP="000A313A">
            <w:pPr>
              <w:pStyle w:val="ListParagraph"/>
              <w:numPr>
                <w:ilvl w:val="0"/>
                <w:numId w:val="64"/>
              </w:numPr>
              <w:rPr>
                <w:rFonts w:eastAsia="Calibri" w:cs="Times New Roman"/>
                <w:bCs/>
                <w:color w:val="000000" w:themeColor="text1"/>
                <w:kern w:val="0"/>
                <w14:ligatures w14:val="none"/>
              </w:rPr>
            </w:pPr>
            <w:hyperlink w:anchor="SpillinLab" w:history="1">
              <w:r w:rsidRPr="002E5E4F">
                <w:rPr>
                  <w:rStyle w:val="Hyperlink"/>
                  <w:rFonts w:eastAsia="Calibri" w:cs="Times New Roman"/>
                  <w:bCs/>
                  <w:color w:val="000000" w:themeColor="text1"/>
                  <w:kern w:val="0"/>
                  <w:u w:val="none"/>
                  <w14:ligatures w14:val="none"/>
                </w:rPr>
                <w:t>Spill in the Laboratory</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55A645F8" w14:textId="65B32837" w:rsidR="00004670" w:rsidRPr="00004670" w:rsidRDefault="00FB4165" w:rsidP="00004670">
            <w:pPr>
              <w:rPr>
                <w:rFonts w:eastAsia="Calibri" w:cs="Times New Roman"/>
                <w:bCs/>
                <w:kern w:val="0"/>
                <w14:ligatures w14:val="none"/>
              </w:rPr>
            </w:pPr>
            <w:r>
              <w:rPr>
                <w:rFonts w:eastAsia="Calibri" w:cs="Times New Roman"/>
                <w:bCs/>
                <w:kern w:val="0"/>
                <w14:ligatures w14:val="none"/>
              </w:rPr>
              <w:t>4</w:t>
            </w:r>
            <w:r w:rsidR="00EF3FC5">
              <w:rPr>
                <w:rFonts w:eastAsia="Calibri" w:cs="Times New Roman"/>
                <w:bCs/>
                <w:kern w:val="0"/>
                <w14:ligatures w14:val="none"/>
              </w:rPr>
              <w:t>6</w:t>
            </w:r>
          </w:p>
        </w:tc>
      </w:tr>
      <w:tr w:rsidR="00004670" w14:paraId="59A4E461" w14:textId="77777777" w:rsidTr="003A4E53">
        <w:tc>
          <w:tcPr>
            <w:tcW w:w="8877" w:type="dxa"/>
            <w:tcBorders>
              <w:top w:val="nil"/>
              <w:left w:val="nil"/>
              <w:bottom w:val="nil"/>
              <w:right w:val="nil"/>
            </w:tcBorders>
          </w:tcPr>
          <w:p w14:paraId="64BDE152" w14:textId="6F4751CD" w:rsidR="00004670" w:rsidRPr="002E5E4F" w:rsidRDefault="00686857" w:rsidP="000A313A">
            <w:pPr>
              <w:pStyle w:val="ListParagraph"/>
              <w:numPr>
                <w:ilvl w:val="0"/>
                <w:numId w:val="63"/>
              </w:numPr>
              <w:rPr>
                <w:rFonts w:eastAsia="Calibri" w:cs="Times New Roman"/>
                <w:bCs/>
                <w:color w:val="000000" w:themeColor="text1"/>
                <w:kern w:val="0"/>
                <w14:ligatures w14:val="none"/>
              </w:rPr>
            </w:pPr>
            <w:hyperlink w:anchor="SpillinBSC" w:history="1">
              <w:r w:rsidRPr="002E5E4F">
                <w:rPr>
                  <w:rStyle w:val="Hyperlink"/>
                  <w:rFonts w:eastAsia="Calibri" w:cs="Times New Roman"/>
                  <w:bCs/>
                  <w:color w:val="000000" w:themeColor="text1"/>
                  <w:kern w:val="0"/>
                  <w:u w:val="none"/>
                  <w14:ligatures w14:val="none"/>
                </w:rPr>
                <w:t>Spill in Biosafety Cabinet</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6379FB27" w14:textId="0E03F854" w:rsidR="00004670" w:rsidRPr="00004670" w:rsidRDefault="00FB4165" w:rsidP="00004670">
            <w:pPr>
              <w:rPr>
                <w:rFonts w:eastAsia="Calibri" w:cs="Times New Roman"/>
                <w:bCs/>
                <w:kern w:val="0"/>
                <w14:ligatures w14:val="none"/>
              </w:rPr>
            </w:pPr>
            <w:r>
              <w:rPr>
                <w:rFonts w:eastAsia="Calibri" w:cs="Times New Roman"/>
                <w:bCs/>
                <w:kern w:val="0"/>
                <w14:ligatures w14:val="none"/>
              </w:rPr>
              <w:t>4</w:t>
            </w:r>
            <w:r w:rsidR="00EF3FC5">
              <w:rPr>
                <w:rFonts w:eastAsia="Calibri" w:cs="Times New Roman"/>
                <w:bCs/>
                <w:kern w:val="0"/>
                <w14:ligatures w14:val="none"/>
              </w:rPr>
              <w:t>6</w:t>
            </w:r>
          </w:p>
        </w:tc>
      </w:tr>
      <w:tr w:rsidR="00045302" w14:paraId="7341600E" w14:textId="77777777" w:rsidTr="003A4E53">
        <w:tc>
          <w:tcPr>
            <w:tcW w:w="8877" w:type="dxa"/>
            <w:tcBorders>
              <w:top w:val="nil"/>
              <w:left w:val="nil"/>
              <w:bottom w:val="nil"/>
              <w:right w:val="nil"/>
            </w:tcBorders>
          </w:tcPr>
          <w:p w14:paraId="13B9F3F7" w14:textId="40968DDD" w:rsidR="00045302" w:rsidRPr="002E5E4F" w:rsidRDefault="00686857" w:rsidP="000A313A">
            <w:pPr>
              <w:pStyle w:val="ListParagraph"/>
              <w:numPr>
                <w:ilvl w:val="0"/>
                <w:numId w:val="62"/>
              </w:numPr>
              <w:rPr>
                <w:rFonts w:eastAsia="Calibri" w:cs="Times New Roman"/>
                <w:bCs/>
                <w:color w:val="000000" w:themeColor="text1"/>
                <w:kern w:val="0"/>
                <w14:ligatures w14:val="none"/>
              </w:rPr>
            </w:pPr>
            <w:hyperlink w:anchor="PersonnelExposure" w:history="1">
              <w:r w:rsidRPr="002E5E4F">
                <w:rPr>
                  <w:rStyle w:val="Hyperlink"/>
                  <w:rFonts w:eastAsia="Calibri" w:cs="Times New Roman"/>
                  <w:bCs/>
                  <w:color w:val="000000" w:themeColor="text1"/>
                  <w:kern w:val="0"/>
                  <w:u w:val="none"/>
                  <w14:ligatures w14:val="none"/>
                </w:rPr>
                <w:t>Personnel Exposure</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5FD115E2" w14:textId="2CF7ED3B" w:rsidR="00045302" w:rsidRPr="00004670" w:rsidRDefault="00FB4165" w:rsidP="00004670">
            <w:pPr>
              <w:rPr>
                <w:rFonts w:eastAsia="Calibri" w:cs="Times New Roman"/>
                <w:bCs/>
                <w:kern w:val="0"/>
                <w14:ligatures w14:val="none"/>
              </w:rPr>
            </w:pPr>
            <w:r>
              <w:rPr>
                <w:rFonts w:eastAsia="Calibri" w:cs="Times New Roman"/>
                <w:bCs/>
                <w:kern w:val="0"/>
                <w14:ligatures w14:val="none"/>
              </w:rPr>
              <w:t>4</w:t>
            </w:r>
            <w:r w:rsidR="00EF3FC5">
              <w:rPr>
                <w:rFonts w:eastAsia="Calibri" w:cs="Times New Roman"/>
                <w:bCs/>
                <w:kern w:val="0"/>
                <w14:ligatures w14:val="none"/>
              </w:rPr>
              <w:t>7</w:t>
            </w:r>
          </w:p>
        </w:tc>
      </w:tr>
      <w:tr w:rsidR="00686857" w14:paraId="77E7E370" w14:textId="77777777" w:rsidTr="003A4E53">
        <w:tc>
          <w:tcPr>
            <w:tcW w:w="8877" w:type="dxa"/>
            <w:tcBorders>
              <w:top w:val="nil"/>
              <w:left w:val="nil"/>
              <w:bottom w:val="nil"/>
              <w:right w:val="nil"/>
            </w:tcBorders>
          </w:tcPr>
          <w:p w14:paraId="2E0EFAF0" w14:textId="5F384F65" w:rsidR="00686857" w:rsidRPr="002E5E4F" w:rsidRDefault="00686857" w:rsidP="00686857">
            <w:pPr>
              <w:rPr>
                <w:rFonts w:eastAsia="Calibri" w:cs="Times New Roman"/>
                <w:bCs/>
                <w:color w:val="000000" w:themeColor="text1"/>
                <w:kern w:val="0"/>
                <w14:ligatures w14:val="none"/>
              </w:rPr>
            </w:pPr>
            <w:hyperlink w:anchor="S13Transport" w:history="1">
              <w:r w:rsidRPr="002E5E4F">
                <w:rPr>
                  <w:rStyle w:val="Hyperlink"/>
                  <w:rFonts w:eastAsia="Calibri" w:cs="Times New Roman"/>
                  <w:bCs/>
                  <w:color w:val="000000" w:themeColor="text1"/>
                  <w:kern w:val="0"/>
                  <w:u w:val="none"/>
                  <w14:ligatures w14:val="none"/>
                </w:rPr>
                <w:t>Section 13: Transporting Biological Materials</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0FBD9ACA" w14:textId="51B08157" w:rsidR="00686857" w:rsidRPr="00004670" w:rsidRDefault="00FB4165" w:rsidP="00686857">
            <w:pPr>
              <w:rPr>
                <w:rFonts w:eastAsia="Calibri" w:cs="Times New Roman"/>
                <w:bCs/>
                <w:kern w:val="0"/>
                <w14:ligatures w14:val="none"/>
              </w:rPr>
            </w:pPr>
            <w:r>
              <w:rPr>
                <w:rFonts w:eastAsia="Calibri" w:cs="Times New Roman"/>
                <w:bCs/>
                <w:kern w:val="0"/>
                <w14:ligatures w14:val="none"/>
              </w:rPr>
              <w:t>4</w:t>
            </w:r>
            <w:r w:rsidR="00EF3FC5">
              <w:rPr>
                <w:rFonts w:eastAsia="Calibri" w:cs="Times New Roman"/>
                <w:bCs/>
                <w:kern w:val="0"/>
                <w14:ligatures w14:val="none"/>
              </w:rPr>
              <w:t>8</w:t>
            </w:r>
          </w:p>
        </w:tc>
      </w:tr>
      <w:tr w:rsidR="00686857" w14:paraId="7A048DB1" w14:textId="77777777" w:rsidTr="003A4E53">
        <w:tc>
          <w:tcPr>
            <w:tcW w:w="8877" w:type="dxa"/>
            <w:tcBorders>
              <w:top w:val="nil"/>
              <w:left w:val="nil"/>
              <w:bottom w:val="nil"/>
              <w:right w:val="nil"/>
            </w:tcBorders>
          </w:tcPr>
          <w:p w14:paraId="160D3866" w14:textId="65F71B24" w:rsidR="00686857" w:rsidRPr="002E5E4F" w:rsidRDefault="00686857" w:rsidP="00686857">
            <w:pPr>
              <w:rPr>
                <w:rFonts w:eastAsia="Calibri" w:cs="Times New Roman"/>
                <w:bCs/>
                <w:color w:val="000000" w:themeColor="text1"/>
                <w:kern w:val="0"/>
                <w14:ligatures w14:val="none"/>
              </w:rPr>
            </w:pPr>
            <w:hyperlink w:anchor="S14SelectAgents" w:history="1">
              <w:r w:rsidRPr="002E5E4F">
                <w:rPr>
                  <w:rStyle w:val="Hyperlink"/>
                  <w:rFonts w:eastAsia="Calibri" w:cs="Times New Roman"/>
                  <w:bCs/>
                  <w:color w:val="000000" w:themeColor="text1"/>
                  <w:kern w:val="0"/>
                  <w:u w:val="none"/>
                  <w14:ligatures w14:val="none"/>
                </w:rPr>
                <w:t>Section 14: Select Agents</w:t>
              </w:r>
            </w:hyperlink>
            <w:r w:rsidR="00B94D6F" w:rsidRPr="002E5E4F">
              <w:rPr>
                <w:rFonts w:eastAsia="Calibri" w:cs="Times New Roman"/>
                <w:bCs/>
                <w:color w:val="000000" w:themeColor="text1"/>
                <w:kern w:val="0"/>
                <w14:ligatures w14:val="none"/>
              </w:rPr>
              <w:t>……………………………………………………………………………</w:t>
            </w:r>
            <w:r w:rsidR="007A4D3C"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14396C83" w14:textId="39A38A90" w:rsidR="00686857" w:rsidRPr="00004670" w:rsidRDefault="00FB4165" w:rsidP="00686857">
            <w:pPr>
              <w:rPr>
                <w:rFonts w:eastAsia="Calibri" w:cs="Times New Roman"/>
                <w:bCs/>
                <w:kern w:val="0"/>
                <w14:ligatures w14:val="none"/>
              </w:rPr>
            </w:pPr>
            <w:r>
              <w:rPr>
                <w:rFonts w:eastAsia="Calibri" w:cs="Times New Roman"/>
                <w:bCs/>
                <w:kern w:val="0"/>
                <w14:ligatures w14:val="none"/>
              </w:rPr>
              <w:t>4</w:t>
            </w:r>
            <w:r w:rsidR="002D3813">
              <w:rPr>
                <w:rFonts w:eastAsia="Calibri" w:cs="Times New Roman"/>
                <w:bCs/>
                <w:kern w:val="0"/>
                <w14:ligatures w14:val="none"/>
              </w:rPr>
              <w:t>9</w:t>
            </w:r>
          </w:p>
        </w:tc>
      </w:tr>
      <w:tr w:rsidR="00686857" w14:paraId="12351FAE" w14:textId="77777777" w:rsidTr="003A4E53">
        <w:tc>
          <w:tcPr>
            <w:tcW w:w="8877" w:type="dxa"/>
            <w:tcBorders>
              <w:top w:val="nil"/>
              <w:left w:val="nil"/>
              <w:bottom w:val="nil"/>
              <w:right w:val="nil"/>
            </w:tcBorders>
          </w:tcPr>
          <w:p w14:paraId="1BBCB0AB" w14:textId="2C88AF04" w:rsidR="00686857" w:rsidRPr="002E5E4F" w:rsidRDefault="00686857" w:rsidP="00686857">
            <w:pPr>
              <w:rPr>
                <w:rFonts w:eastAsia="Calibri" w:cs="Times New Roman"/>
                <w:bCs/>
                <w:color w:val="000000" w:themeColor="text1"/>
                <w:kern w:val="0"/>
                <w14:ligatures w14:val="none"/>
              </w:rPr>
            </w:pPr>
            <w:hyperlink w:anchor="S15DEAControlleed" w:history="1">
              <w:r w:rsidRPr="002E5E4F">
                <w:rPr>
                  <w:rStyle w:val="Hyperlink"/>
                  <w:rFonts w:eastAsia="Calibri" w:cs="Times New Roman"/>
                  <w:bCs/>
                  <w:color w:val="000000" w:themeColor="text1"/>
                  <w:kern w:val="0"/>
                  <w:u w:val="none"/>
                  <w14:ligatures w14:val="none"/>
                </w:rPr>
                <w:t>Section 15: DEA Controlled Substances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30D26338" w14:textId="06CA7E80" w:rsidR="00686857" w:rsidRPr="00004670" w:rsidRDefault="00FB4165" w:rsidP="00686857">
            <w:pPr>
              <w:rPr>
                <w:rFonts w:eastAsia="Calibri" w:cs="Times New Roman"/>
                <w:bCs/>
                <w:kern w:val="0"/>
                <w14:ligatures w14:val="none"/>
              </w:rPr>
            </w:pPr>
            <w:r>
              <w:rPr>
                <w:rFonts w:eastAsia="Calibri" w:cs="Times New Roman"/>
                <w:bCs/>
                <w:kern w:val="0"/>
                <w14:ligatures w14:val="none"/>
              </w:rPr>
              <w:t>4</w:t>
            </w:r>
            <w:r w:rsidR="002D3813">
              <w:rPr>
                <w:rFonts w:eastAsia="Calibri" w:cs="Times New Roman"/>
                <w:bCs/>
                <w:kern w:val="0"/>
                <w14:ligatures w14:val="none"/>
              </w:rPr>
              <w:t>9</w:t>
            </w:r>
          </w:p>
        </w:tc>
      </w:tr>
      <w:tr w:rsidR="00686857" w14:paraId="35F9B35E" w14:textId="77777777" w:rsidTr="003A4E53">
        <w:tc>
          <w:tcPr>
            <w:tcW w:w="8877" w:type="dxa"/>
            <w:tcBorders>
              <w:top w:val="nil"/>
              <w:left w:val="nil"/>
              <w:bottom w:val="nil"/>
              <w:right w:val="nil"/>
            </w:tcBorders>
          </w:tcPr>
          <w:p w14:paraId="19F31354" w14:textId="146502BD" w:rsidR="00686857" w:rsidRPr="002E5E4F" w:rsidRDefault="00686857" w:rsidP="00686857">
            <w:pPr>
              <w:rPr>
                <w:rFonts w:eastAsia="Calibri" w:cs="Times New Roman"/>
                <w:bCs/>
                <w:color w:val="000000" w:themeColor="text1"/>
                <w:kern w:val="0"/>
                <w14:ligatures w14:val="none"/>
              </w:rPr>
            </w:pPr>
            <w:hyperlink w:anchor="S16PermitsandExportControls" w:history="1">
              <w:r w:rsidRPr="002E5E4F">
                <w:rPr>
                  <w:rStyle w:val="Hyperlink"/>
                  <w:rFonts w:eastAsia="Calibri" w:cs="Times New Roman"/>
                  <w:bCs/>
                  <w:color w:val="000000" w:themeColor="text1"/>
                  <w:kern w:val="0"/>
                  <w:u w:val="none"/>
                  <w14:ligatures w14:val="none"/>
                </w:rPr>
                <w:t>Section 16: Permits and Export Controls</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1D39302B" w14:textId="75426640" w:rsidR="00686857" w:rsidRPr="00004670" w:rsidRDefault="002D3813" w:rsidP="00686857">
            <w:pPr>
              <w:rPr>
                <w:rFonts w:eastAsia="Calibri" w:cs="Times New Roman"/>
                <w:bCs/>
                <w:kern w:val="0"/>
                <w14:ligatures w14:val="none"/>
              </w:rPr>
            </w:pPr>
            <w:r>
              <w:rPr>
                <w:rFonts w:eastAsia="Calibri" w:cs="Times New Roman"/>
                <w:bCs/>
                <w:kern w:val="0"/>
                <w14:ligatures w14:val="none"/>
              </w:rPr>
              <w:t>50</w:t>
            </w:r>
          </w:p>
        </w:tc>
      </w:tr>
      <w:tr w:rsidR="00686857" w14:paraId="1048EF5B" w14:textId="77777777" w:rsidTr="003A4E53">
        <w:tc>
          <w:tcPr>
            <w:tcW w:w="8877" w:type="dxa"/>
            <w:tcBorders>
              <w:top w:val="nil"/>
              <w:left w:val="nil"/>
              <w:bottom w:val="nil"/>
              <w:right w:val="nil"/>
            </w:tcBorders>
          </w:tcPr>
          <w:p w14:paraId="24923F02" w14:textId="1609DA7A" w:rsidR="00686857" w:rsidRPr="002E5E4F" w:rsidRDefault="00686857" w:rsidP="00686857">
            <w:pPr>
              <w:rPr>
                <w:rFonts w:eastAsia="Calibri" w:cs="Times New Roman"/>
                <w:bCs/>
                <w:color w:val="000000" w:themeColor="text1"/>
                <w:kern w:val="0"/>
                <w14:ligatures w14:val="none"/>
              </w:rPr>
            </w:pPr>
            <w:hyperlink w:anchor="S17LabManual" w:history="1">
              <w:r w:rsidRPr="002E5E4F">
                <w:rPr>
                  <w:rStyle w:val="Hyperlink"/>
                  <w:rFonts w:eastAsia="Calibri" w:cs="Times New Roman"/>
                  <w:bCs/>
                  <w:color w:val="000000" w:themeColor="text1"/>
                  <w:kern w:val="0"/>
                  <w:u w:val="none"/>
                  <w14:ligatures w14:val="none"/>
                </w:rPr>
                <w:t>Section 17: Laboratory Safety Manual</w:t>
              </w:r>
            </w:hyperlink>
            <w:r w:rsidR="00B94D6F" w:rsidRPr="002E5E4F">
              <w:rPr>
                <w:rFonts w:eastAsia="Calibri" w:cs="Times New Roman"/>
                <w:bCs/>
                <w:color w:val="000000" w:themeColor="text1"/>
                <w:kern w:val="0"/>
                <w14:ligatures w14:val="none"/>
              </w:rPr>
              <w:t>……………………………………………………………….</w:t>
            </w:r>
          </w:p>
        </w:tc>
        <w:tc>
          <w:tcPr>
            <w:tcW w:w="473" w:type="dxa"/>
            <w:tcBorders>
              <w:top w:val="nil"/>
              <w:left w:val="nil"/>
              <w:bottom w:val="nil"/>
              <w:right w:val="nil"/>
            </w:tcBorders>
          </w:tcPr>
          <w:p w14:paraId="1987F82F" w14:textId="2E5C781E" w:rsidR="00686857" w:rsidRPr="00004670" w:rsidRDefault="002D3813" w:rsidP="00686857">
            <w:pPr>
              <w:rPr>
                <w:rFonts w:eastAsia="Calibri" w:cs="Times New Roman"/>
                <w:bCs/>
                <w:kern w:val="0"/>
                <w14:ligatures w14:val="none"/>
              </w:rPr>
            </w:pPr>
            <w:r>
              <w:rPr>
                <w:rFonts w:eastAsia="Calibri" w:cs="Times New Roman"/>
                <w:bCs/>
                <w:kern w:val="0"/>
                <w14:ligatures w14:val="none"/>
              </w:rPr>
              <w:t>51</w:t>
            </w:r>
          </w:p>
        </w:tc>
      </w:tr>
      <w:tr w:rsidR="003A4E53" w14:paraId="2490A747" w14:textId="77777777" w:rsidTr="003A4E53">
        <w:tc>
          <w:tcPr>
            <w:tcW w:w="8877" w:type="dxa"/>
            <w:tcBorders>
              <w:top w:val="nil"/>
              <w:left w:val="nil"/>
              <w:bottom w:val="nil"/>
              <w:right w:val="nil"/>
            </w:tcBorders>
          </w:tcPr>
          <w:p w14:paraId="45D21120" w14:textId="27434F6E" w:rsidR="003A4E53" w:rsidRDefault="003A4E53" w:rsidP="00686857">
            <w:r>
              <w:t xml:space="preserve">APPENDIX </w:t>
            </w:r>
            <w:r w:rsidR="006D6FF9">
              <w:t>A</w:t>
            </w:r>
            <w:r w:rsidR="00396489">
              <w:t>.</w:t>
            </w:r>
            <w:r>
              <w:t xml:space="preserve"> Waste Streams Disposal Poster……………………………………………………</w:t>
            </w:r>
            <w:r w:rsidR="006D6FF9">
              <w:t>.</w:t>
            </w:r>
          </w:p>
        </w:tc>
        <w:tc>
          <w:tcPr>
            <w:tcW w:w="473" w:type="dxa"/>
            <w:tcBorders>
              <w:top w:val="nil"/>
              <w:left w:val="nil"/>
              <w:bottom w:val="nil"/>
              <w:right w:val="nil"/>
            </w:tcBorders>
          </w:tcPr>
          <w:p w14:paraId="26E7C581" w14:textId="44AC410D" w:rsidR="003A4E53" w:rsidRDefault="006D6FF9" w:rsidP="00686857">
            <w:pPr>
              <w:rPr>
                <w:rFonts w:eastAsia="Calibri" w:cs="Times New Roman"/>
                <w:bCs/>
                <w:kern w:val="0"/>
                <w14:ligatures w14:val="none"/>
              </w:rPr>
            </w:pPr>
            <w:r>
              <w:rPr>
                <w:rFonts w:eastAsia="Calibri" w:cs="Times New Roman"/>
                <w:bCs/>
                <w:kern w:val="0"/>
                <w14:ligatures w14:val="none"/>
              </w:rPr>
              <w:t>52</w:t>
            </w:r>
          </w:p>
        </w:tc>
      </w:tr>
      <w:tr w:rsidR="00396489" w14:paraId="31A454E1" w14:textId="77777777" w:rsidTr="003A4E53">
        <w:tc>
          <w:tcPr>
            <w:tcW w:w="8877" w:type="dxa"/>
            <w:tcBorders>
              <w:top w:val="nil"/>
              <w:left w:val="nil"/>
              <w:bottom w:val="nil"/>
              <w:right w:val="nil"/>
            </w:tcBorders>
          </w:tcPr>
          <w:p w14:paraId="3A21FA31" w14:textId="5C4AE5F5" w:rsidR="00396489" w:rsidRDefault="00396489" w:rsidP="00686857">
            <w:r w:rsidRPr="00396489">
              <w:t xml:space="preserve">APPENDIX </w:t>
            </w:r>
            <w:r w:rsidR="006D6FF9">
              <w:t>B</w:t>
            </w:r>
            <w:r w:rsidRPr="00396489">
              <w:t>. Summary of Disinfectants used in Biological Research</w:t>
            </w:r>
            <w:r>
              <w:t>……………………</w:t>
            </w:r>
            <w:r w:rsidR="006D6FF9">
              <w:t>.</w:t>
            </w:r>
          </w:p>
        </w:tc>
        <w:tc>
          <w:tcPr>
            <w:tcW w:w="473" w:type="dxa"/>
            <w:tcBorders>
              <w:top w:val="nil"/>
              <w:left w:val="nil"/>
              <w:bottom w:val="nil"/>
              <w:right w:val="nil"/>
            </w:tcBorders>
          </w:tcPr>
          <w:p w14:paraId="448807E9" w14:textId="377111B6" w:rsidR="00396489" w:rsidRDefault="006D6FF9" w:rsidP="00686857">
            <w:pPr>
              <w:rPr>
                <w:rFonts w:eastAsia="Calibri" w:cs="Times New Roman"/>
                <w:bCs/>
                <w:kern w:val="0"/>
                <w14:ligatures w14:val="none"/>
              </w:rPr>
            </w:pPr>
            <w:r>
              <w:rPr>
                <w:rFonts w:eastAsia="Calibri" w:cs="Times New Roman"/>
                <w:bCs/>
                <w:kern w:val="0"/>
                <w14:ligatures w14:val="none"/>
              </w:rPr>
              <w:t>53</w:t>
            </w:r>
          </w:p>
        </w:tc>
      </w:tr>
    </w:tbl>
    <w:p w14:paraId="6F3D739C" w14:textId="77777777" w:rsidR="00333282" w:rsidRDefault="00333282" w:rsidP="00A035D4">
      <w:pPr>
        <w:autoSpaceDE w:val="0"/>
        <w:autoSpaceDN w:val="0"/>
        <w:adjustRightInd w:val="0"/>
        <w:spacing w:after="0" w:line="240" w:lineRule="auto"/>
        <w:jc w:val="center"/>
        <w:rPr>
          <w:rFonts w:eastAsia="Calibri" w:cs="Times New Roman"/>
          <w:b/>
          <w:kern w:val="0"/>
          <w:sz w:val="28"/>
          <w:szCs w:val="28"/>
          <w:u w:val="single"/>
          <w14:ligatures w14:val="none"/>
        </w:rPr>
      </w:pPr>
    </w:p>
    <w:p w14:paraId="6097A503" w14:textId="77777777" w:rsidR="00333282" w:rsidRDefault="00333282">
      <w:pPr>
        <w:rPr>
          <w:rFonts w:eastAsia="Calibri" w:cs="Times New Roman"/>
          <w:b/>
          <w:kern w:val="0"/>
          <w:sz w:val="28"/>
          <w:szCs w:val="28"/>
          <w:u w:val="single"/>
          <w14:ligatures w14:val="none"/>
        </w:rPr>
      </w:pPr>
      <w:r>
        <w:rPr>
          <w:rFonts w:eastAsia="Calibri" w:cs="Times New Roman"/>
          <w:b/>
          <w:kern w:val="0"/>
          <w:sz w:val="28"/>
          <w:szCs w:val="28"/>
          <w:u w:val="single"/>
          <w14:ligatures w14:val="none"/>
        </w:rPr>
        <w:br w:type="page"/>
      </w:r>
    </w:p>
    <w:p w14:paraId="35D1DBA2" w14:textId="23892D32" w:rsidR="00A035D4" w:rsidRPr="00A035D4" w:rsidRDefault="00A035D4" w:rsidP="00A035D4">
      <w:pPr>
        <w:autoSpaceDE w:val="0"/>
        <w:autoSpaceDN w:val="0"/>
        <w:adjustRightInd w:val="0"/>
        <w:spacing w:after="0" w:line="240" w:lineRule="auto"/>
        <w:jc w:val="center"/>
        <w:rPr>
          <w:rFonts w:eastAsia="Calibri" w:cs="Times New Roman"/>
          <w:b/>
          <w:kern w:val="0"/>
          <w:sz w:val="28"/>
          <w:szCs w:val="28"/>
          <w:u w:val="single"/>
          <w14:ligatures w14:val="none"/>
        </w:rPr>
      </w:pPr>
      <w:r w:rsidRPr="00A035D4">
        <w:rPr>
          <w:rFonts w:eastAsia="Calibri" w:cs="Times New Roman"/>
          <w:b/>
          <w:kern w:val="0"/>
          <w:sz w:val="28"/>
          <w:szCs w:val="28"/>
          <w:u w:val="single"/>
          <w14:ligatures w14:val="none"/>
        </w:rPr>
        <w:lastRenderedPageBreak/>
        <w:t>UND EMERGENCY PHONE NUMBERS</w:t>
      </w:r>
    </w:p>
    <w:p w14:paraId="4EE3B948" w14:textId="77777777" w:rsidR="00A035D4" w:rsidRPr="00A035D4" w:rsidRDefault="00A035D4" w:rsidP="00A035D4">
      <w:pPr>
        <w:autoSpaceDE w:val="0"/>
        <w:autoSpaceDN w:val="0"/>
        <w:adjustRightInd w:val="0"/>
        <w:spacing w:after="0" w:line="240" w:lineRule="auto"/>
        <w:jc w:val="center"/>
        <w:rPr>
          <w:rFonts w:eastAsia="Calibri" w:cs="Times New Roman"/>
          <w:b/>
          <w:kern w:val="0"/>
          <w:sz w:val="22"/>
          <w:szCs w:val="22"/>
          <w14:ligatures w14:val="none"/>
        </w:rPr>
      </w:pPr>
    </w:p>
    <w:p w14:paraId="1147DA6C" w14:textId="77777777" w:rsidR="00A035D4" w:rsidRPr="00A035D4" w:rsidRDefault="00A035D4" w:rsidP="004457E7">
      <w:pPr>
        <w:autoSpaceDE w:val="0"/>
        <w:autoSpaceDN w:val="0"/>
        <w:adjustRightInd w:val="0"/>
        <w:spacing w:after="0" w:line="240" w:lineRule="auto"/>
        <w:ind w:left="5760" w:firstLine="720"/>
        <w:rPr>
          <w:rFonts w:eastAsia="Calibri" w:cs="Times New Roman"/>
          <w:kern w:val="0"/>
          <w:sz w:val="22"/>
          <w:szCs w:val="22"/>
          <w14:ligatures w14:val="none"/>
        </w:rPr>
      </w:pPr>
      <w:r w:rsidRPr="00A035D4">
        <w:rPr>
          <w:rFonts w:eastAsia="Calibri" w:cs="Times New Roman"/>
          <w:kern w:val="0"/>
          <w:sz w:val="22"/>
          <w:szCs w:val="22"/>
          <w14:ligatures w14:val="none"/>
        </w:rPr>
        <w:t xml:space="preserve">Telephone </w:t>
      </w:r>
    </w:p>
    <w:p w14:paraId="0C931DDB"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02ED0C04" w14:textId="32E8A110"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Principal Investigator/Supervisor: </w:t>
      </w:r>
      <w:sdt>
        <w:sdtPr>
          <w:rPr>
            <w:rFonts w:eastAsia="Calibri" w:cs="Times New Roman"/>
            <w:kern w:val="0"/>
            <w:sz w:val="22"/>
            <w:szCs w:val="22"/>
            <w14:ligatures w14:val="none"/>
          </w:rPr>
          <w:id w:val="-1566719830"/>
          <w:placeholder>
            <w:docPart w:val="DefaultPlaceholder_-1854013440"/>
          </w:placeholder>
          <w:showingPlcHdr/>
        </w:sdtPr>
        <w:sdtEndPr/>
        <w:sdtContent>
          <w:r w:rsidR="00D46928" w:rsidRPr="00D46928">
            <w:rPr>
              <w:rStyle w:val="PlaceholderText"/>
              <w:shd w:val="clear" w:color="auto" w:fill="D9F2D0" w:themeFill="accent6" w:themeFillTint="33"/>
            </w:rPr>
            <w:t>Click or tap here to enter text.</w:t>
          </w:r>
        </w:sdtContent>
      </w:sdt>
      <w:r w:rsidRPr="00A035D4">
        <w:rPr>
          <w:rFonts w:eastAsia="Calibri" w:cs="Times New Roman"/>
          <w:kern w:val="0"/>
          <w:sz w:val="22"/>
          <w:szCs w:val="22"/>
          <w14:ligatures w14:val="none"/>
        </w:rPr>
        <w:t xml:space="preserve"> </w:t>
      </w:r>
    </w:p>
    <w:p w14:paraId="5AF2A46F"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299B0BE5" w14:textId="54E81BDA"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Building Coordinator: </w:t>
      </w:r>
      <w:sdt>
        <w:sdtPr>
          <w:rPr>
            <w:rFonts w:eastAsia="Calibri" w:cs="Times New Roman"/>
            <w:kern w:val="0"/>
            <w:sz w:val="22"/>
            <w:szCs w:val="22"/>
            <w14:ligatures w14:val="none"/>
          </w:rPr>
          <w:id w:val="1638449629"/>
          <w:placeholder>
            <w:docPart w:val="DefaultPlaceholder_-1854013440"/>
          </w:placeholder>
          <w:showingPlcHdr/>
        </w:sdtPr>
        <w:sdtEndPr/>
        <w:sdtContent>
          <w:r w:rsidR="00D46928" w:rsidRPr="00D46928">
            <w:rPr>
              <w:rStyle w:val="PlaceholderText"/>
              <w:shd w:val="clear" w:color="auto" w:fill="D9F2D0" w:themeFill="accent6" w:themeFillTint="33"/>
            </w:rPr>
            <w:t>Click or tap here to enter text.</w:t>
          </w:r>
        </w:sdtContent>
      </w:sdt>
      <w:r w:rsidRPr="00A035D4">
        <w:rPr>
          <w:rFonts w:eastAsia="Calibri" w:cs="Times New Roman"/>
          <w:kern w:val="0"/>
          <w:sz w:val="22"/>
          <w:szCs w:val="22"/>
          <w14:ligatures w14:val="none"/>
        </w:rPr>
        <w:t xml:space="preserve"> </w:t>
      </w:r>
    </w:p>
    <w:p w14:paraId="3C242B4E"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 </w:t>
      </w:r>
    </w:p>
    <w:p w14:paraId="529E2461" w14:textId="37F6A9A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Building Services Technician (BST): </w:t>
      </w:r>
      <w:sdt>
        <w:sdtPr>
          <w:rPr>
            <w:rFonts w:eastAsia="Calibri" w:cs="Times New Roman"/>
            <w:kern w:val="0"/>
            <w:sz w:val="22"/>
            <w:szCs w:val="22"/>
            <w14:ligatures w14:val="none"/>
          </w:rPr>
          <w:id w:val="1997451905"/>
          <w:placeholder>
            <w:docPart w:val="DefaultPlaceholder_-1854013440"/>
          </w:placeholder>
          <w:showingPlcHdr/>
        </w:sdtPr>
        <w:sdtEndPr/>
        <w:sdtContent>
          <w:r w:rsidR="00D46928" w:rsidRPr="00D46928">
            <w:rPr>
              <w:rStyle w:val="PlaceholderText"/>
              <w:shd w:val="clear" w:color="auto" w:fill="D9F2D0" w:themeFill="accent6" w:themeFillTint="33"/>
            </w:rPr>
            <w:t>Click or tap here to enter text.</w:t>
          </w:r>
        </w:sdtContent>
      </w:sdt>
    </w:p>
    <w:p w14:paraId="17E67D4D" w14:textId="77777777" w:rsidR="00A035D4" w:rsidRPr="00A035D4" w:rsidRDefault="00A035D4" w:rsidP="00AF3975">
      <w:pPr>
        <w:numPr>
          <w:ilvl w:val="0"/>
          <w:numId w:val="16"/>
        </w:numPr>
        <w:autoSpaceDE w:val="0"/>
        <w:autoSpaceDN w:val="0"/>
        <w:adjustRightInd w:val="0"/>
        <w:spacing w:after="0" w:line="240" w:lineRule="auto"/>
        <w:contextualSpacing/>
        <w:rPr>
          <w:rFonts w:eastAsia="Calibri" w:cs="Times New Roman"/>
          <w:kern w:val="0"/>
          <w:sz w:val="22"/>
          <w:szCs w:val="22"/>
          <w14:ligatures w14:val="none"/>
        </w:rPr>
      </w:pPr>
      <w:r w:rsidRPr="00A035D4">
        <w:rPr>
          <w:rFonts w:eastAsia="Calibri" w:cs="Times New Roman"/>
          <w:kern w:val="0"/>
          <w:sz w:val="22"/>
          <w:szCs w:val="22"/>
          <w14:ligatures w14:val="none"/>
        </w:rPr>
        <w:t>Facilities Main Desk</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701.777.4137</w:t>
      </w:r>
    </w:p>
    <w:p w14:paraId="0061A135"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3C722481" w14:textId="66EA5596"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University of North Dakota (UND) Police (On Campus) </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 xml:space="preserve">701.777.3491 or 911 </w:t>
      </w:r>
    </w:p>
    <w:p w14:paraId="01EF2FD3" w14:textId="77777777" w:rsidR="00A035D4" w:rsidRPr="00A035D4" w:rsidRDefault="00A035D4" w:rsidP="00AF3975">
      <w:pPr>
        <w:numPr>
          <w:ilvl w:val="0"/>
          <w:numId w:val="15"/>
        </w:numPr>
        <w:autoSpaceDE w:val="0"/>
        <w:autoSpaceDN w:val="0"/>
        <w:adjustRightInd w:val="0"/>
        <w:spacing w:after="0" w:line="240" w:lineRule="auto"/>
        <w:contextualSpacing/>
        <w:rPr>
          <w:rFonts w:eastAsia="Calibri" w:cs="Times New Roman"/>
          <w:kern w:val="0"/>
          <w:sz w:val="22"/>
          <w:szCs w:val="22"/>
          <w14:ligatures w14:val="none"/>
        </w:rPr>
      </w:pPr>
      <w:r w:rsidRPr="00A035D4">
        <w:rPr>
          <w:rFonts w:eastAsia="Calibri" w:cs="Times New Roman"/>
          <w:kern w:val="0"/>
          <w:sz w:val="22"/>
          <w:szCs w:val="22"/>
          <w14:ligatures w14:val="none"/>
        </w:rPr>
        <w:t>Chief of Police</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701.777.3391</w:t>
      </w:r>
    </w:p>
    <w:p w14:paraId="500A740A"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3C127AED"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UND Operations Call Center</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701.777.2591</w:t>
      </w:r>
    </w:p>
    <w:p w14:paraId="2C02B808" w14:textId="77777777" w:rsidR="00A035D4" w:rsidRPr="00A035D4" w:rsidRDefault="00A035D4" w:rsidP="00AF3975">
      <w:pPr>
        <w:numPr>
          <w:ilvl w:val="0"/>
          <w:numId w:val="14"/>
        </w:numPr>
        <w:autoSpaceDE w:val="0"/>
        <w:autoSpaceDN w:val="0"/>
        <w:adjustRightInd w:val="0"/>
        <w:spacing w:after="0" w:line="240" w:lineRule="auto"/>
        <w:contextualSpacing/>
        <w:rPr>
          <w:rFonts w:eastAsia="Calibri" w:cs="Times New Roman"/>
          <w:kern w:val="0"/>
          <w:sz w:val="22"/>
          <w:szCs w:val="22"/>
          <w14:ligatures w14:val="none"/>
        </w:rPr>
      </w:pPr>
      <w:r w:rsidRPr="00A035D4">
        <w:rPr>
          <w:rFonts w:eastAsia="Calibri" w:cs="Times New Roman"/>
          <w:kern w:val="0"/>
          <w:sz w:val="22"/>
          <w:szCs w:val="22"/>
          <w14:ligatures w14:val="none"/>
        </w:rPr>
        <w:t>Director for Emergency Management</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701.777.2030</w:t>
      </w:r>
    </w:p>
    <w:p w14:paraId="7F5ACDE3"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59998C80"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Grand Forks Fire Department </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 xml:space="preserve">911 </w:t>
      </w:r>
    </w:p>
    <w:p w14:paraId="72B00142"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652D3D5B"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Office of Safety Main Office </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 xml:space="preserve">701.777.3341 </w:t>
      </w:r>
    </w:p>
    <w:p w14:paraId="1397B9FB" w14:textId="77777777" w:rsidR="00A035D4" w:rsidRPr="00A035D4" w:rsidRDefault="00A035D4" w:rsidP="00AF3975">
      <w:pPr>
        <w:numPr>
          <w:ilvl w:val="0"/>
          <w:numId w:val="13"/>
        </w:numPr>
        <w:autoSpaceDE w:val="0"/>
        <w:autoSpaceDN w:val="0"/>
        <w:adjustRightInd w:val="0"/>
        <w:spacing w:after="0" w:line="240" w:lineRule="auto"/>
        <w:contextualSpacing/>
        <w:rPr>
          <w:rFonts w:eastAsia="Calibri" w:cs="Times New Roman"/>
          <w:kern w:val="0"/>
          <w:sz w:val="22"/>
          <w:szCs w:val="22"/>
          <w14:ligatures w14:val="none"/>
        </w:rPr>
      </w:pPr>
      <w:r w:rsidRPr="00A035D4">
        <w:rPr>
          <w:rFonts w:eastAsia="Calibri" w:cs="Times New Roman"/>
          <w:kern w:val="0"/>
          <w:sz w:val="22"/>
          <w:szCs w:val="22"/>
          <w14:ligatures w14:val="none"/>
        </w:rPr>
        <w:t>Laboratory &amp; Research Safety Officer</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701.777.2444</w:t>
      </w:r>
    </w:p>
    <w:p w14:paraId="3EC69791" w14:textId="77777777" w:rsidR="00A035D4" w:rsidRPr="00A035D4" w:rsidRDefault="00A035D4" w:rsidP="00AF3975">
      <w:pPr>
        <w:numPr>
          <w:ilvl w:val="0"/>
          <w:numId w:val="13"/>
        </w:numPr>
        <w:autoSpaceDE w:val="0"/>
        <w:autoSpaceDN w:val="0"/>
        <w:adjustRightInd w:val="0"/>
        <w:spacing w:after="0" w:line="240" w:lineRule="auto"/>
        <w:contextualSpacing/>
        <w:rPr>
          <w:rFonts w:eastAsia="Calibri" w:cs="Times New Roman"/>
          <w:kern w:val="0"/>
          <w:sz w:val="22"/>
          <w:szCs w:val="22"/>
          <w14:ligatures w14:val="none"/>
        </w:rPr>
      </w:pPr>
      <w:r w:rsidRPr="00A035D4">
        <w:rPr>
          <w:rFonts w:eastAsia="Calibri" w:cs="Times New Roman"/>
          <w:kern w:val="0"/>
          <w:sz w:val="22"/>
          <w:szCs w:val="22"/>
          <w14:ligatures w14:val="none"/>
        </w:rPr>
        <w:t>Environmental Health &amp; Safety Manager</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701.777.5931</w:t>
      </w:r>
    </w:p>
    <w:p w14:paraId="63B17728" w14:textId="46E257B9" w:rsidR="00A035D4" w:rsidRPr="00A035D4" w:rsidRDefault="00A035D4" w:rsidP="00AF3975">
      <w:pPr>
        <w:numPr>
          <w:ilvl w:val="0"/>
          <w:numId w:val="13"/>
        </w:numPr>
        <w:autoSpaceDE w:val="0"/>
        <w:autoSpaceDN w:val="0"/>
        <w:adjustRightInd w:val="0"/>
        <w:spacing w:after="0" w:line="240" w:lineRule="auto"/>
        <w:contextualSpacing/>
        <w:rPr>
          <w:rFonts w:eastAsia="Calibri" w:cs="Times New Roman"/>
          <w:kern w:val="0"/>
          <w:sz w:val="22"/>
          <w:szCs w:val="22"/>
          <w14:ligatures w14:val="none"/>
        </w:rPr>
      </w:pPr>
      <w:r w:rsidRPr="00A035D4">
        <w:rPr>
          <w:rFonts w:eastAsia="Calibri" w:cs="Times New Roman"/>
          <w:kern w:val="0"/>
          <w:sz w:val="22"/>
          <w:szCs w:val="22"/>
          <w14:ligatures w14:val="none"/>
        </w:rPr>
        <w:t xml:space="preserve"> Life and Fire Safety Technician</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701.777.6042</w:t>
      </w:r>
    </w:p>
    <w:p w14:paraId="2A351F6F" w14:textId="77777777" w:rsidR="00A035D4" w:rsidRPr="00A035D4" w:rsidRDefault="00A035D4" w:rsidP="00AF3975">
      <w:pPr>
        <w:numPr>
          <w:ilvl w:val="0"/>
          <w:numId w:val="13"/>
        </w:numPr>
        <w:autoSpaceDE w:val="0"/>
        <w:autoSpaceDN w:val="0"/>
        <w:adjustRightInd w:val="0"/>
        <w:spacing w:after="0" w:line="240" w:lineRule="auto"/>
        <w:contextualSpacing/>
        <w:rPr>
          <w:rFonts w:eastAsia="Calibri" w:cs="Times New Roman"/>
          <w:kern w:val="0"/>
          <w:sz w:val="22"/>
          <w:szCs w:val="22"/>
          <w14:ligatures w14:val="none"/>
        </w:rPr>
      </w:pPr>
      <w:r w:rsidRPr="00A035D4">
        <w:rPr>
          <w:rFonts w:eastAsia="Calibri" w:cs="Times New Roman"/>
          <w:kern w:val="0"/>
          <w:sz w:val="22"/>
          <w:szCs w:val="22"/>
          <w14:ligatures w14:val="none"/>
        </w:rPr>
        <w:t>Director of Safety</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701.777.3759</w:t>
      </w:r>
    </w:p>
    <w:p w14:paraId="5303C05C"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51F77DDC" w14:textId="77777777" w:rsidR="00A035D4" w:rsidRPr="00A035D4" w:rsidRDefault="00A035D4" w:rsidP="00A035D4">
      <w:pPr>
        <w:autoSpaceDE w:val="0"/>
        <w:autoSpaceDN w:val="0"/>
        <w:adjustRightInd w:val="0"/>
        <w:spacing w:after="0" w:line="240" w:lineRule="auto"/>
        <w:rPr>
          <w:rFonts w:eastAsia="Calibri" w:cs="Times New Roman"/>
          <w:b/>
          <w:bCs/>
          <w:kern w:val="0"/>
          <w:sz w:val="22"/>
          <w:szCs w:val="22"/>
          <w14:ligatures w14:val="none"/>
        </w:rPr>
      </w:pPr>
      <w:r w:rsidRPr="00A035D4">
        <w:rPr>
          <w:rFonts w:eastAsia="Calibri" w:cs="Times New Roman"/>
          <w:b/>
          <w:bCs/>
          <w:kern w:val="0"/>
          <w:sz w:val="22"/>
          <w:szCs w:val="22"/>
          <w14:ligatures w14:val="none"/>
        </w:rPr>
        <w:t xml:space="preserve">AFTER HOURS, WEEKENDS AND HOLIDAYS </w:t>
      </w:r>
    </w:p>
    <w:p w14:paraId="1EA4451A"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1EFBCAAB"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UND Police (On Campus) </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 xml:space="preserve">911 </w:t>
      </w:r>
    </w:p>
    <w:p w14:paraId="3C9ABBE4"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1726F565"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Grand Forks Fire Department</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 xml:space="preserve"> </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 xml:space="preserve">911 </w:t>
      </w:r>
    </w:p>
    <w:p w14:paraId="4CA0D5D1"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5137A09F"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UND Operations Call Center</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701.777.2591</w:t>
      </w:r>
    </w:p>
    <w:p w14:paraId="5E19CA9A" w14:textId="77777777" w:rsidR="00A035D4" w:rsidRPr="00A035D4" w:rsidRDefault="00A035D4" w:rsidP="00AF3975">
      <w:pPr>
        <w:numPr>
          <w:ilvl w:val="0"/>
          <w:numId w:val="14"/>
        </w:numPr>
        <w:autoSpaceDE w:val="0"/>
        <w:autoSpaceDN w:val="0"/>
        <w:adjustRightInd w:val="0"/>
        <w:spacing w:after="0" w:line="240" w:lineRule="auto"/>
        <w:contextualSpacing/>
        <w:rPr>
          <w:rFonts w:eastAsia="Calibri" w:cs="Times New Roman"/>
          <w:kern w:val="0"/>
          <w:sz w:val="22"/>
          <w:szCs w:val="22"/>
          <w14:ligatures w14:val="none"/>
        </w:rPr>
      </w:pPr>
      <w:r w:rsidRPr="00A035D4">
        <w:rPr>
          <w:rFonts w:eastAsia="Calibri" w:cs="Times New Roman"/>
          <w:kern w:val="0"/>
          <w:sz w:val="22"/>
          <w:szCs w:val="22"/>
          <w14:ligatures w14:val="none"/>
        </w:rPr>
        <w:t>Director for Emergency Management</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701.777.2030</w:t>
      </w:r>
    </w:p>
    <w:p w14:paraId="1E7E63CB"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71C72129" w14:textId="77777777" w:rsidR="00A035D4" w:rsidRPr="00A035D4" w:rsidRDefault="00A035D4" w:rsidP="00A035D4">
      <w:pPr>
        <w:autoSpaceDE w:val="0"/>
        <w:autoSpaceDN w:val="0"/>
        <w:adjustRightInd w:val="0"/>
        <w:spacing w:after="0" w:line="240" w:lineRule="auto"/>
        <w:rPr>
          <w:rFonts w:eastAsia="Calibri" w:cs="Times New Roman"/>
          <w:b/>
          <w:bCs/>
          <w:kern w:val="0"/>
          <w:sz w:val="22"/>
          <w:szCs w:val="22"/>
          <w14:ligatures w14:val="none"/>
        </w:rPr>
      </w:pPr>
      <w:r w:rsidRPr="00A035D4">
        <w:rPr>
          <w:rFonts w:eastAsia="Calibri" w:cs="Times New Roman"/>
          <w:b/>
          <w:bCs/>
          <w:kern w:val="0"/>
          <w:sz w:val="22"/>
          <w:szCs w:val="22"/>
          <w14:ligatures w14:val="none"/>
        </w:rPr>
        <w:t xml:space="preserve">WHEN REPORTING A BIOHAZARD EMERGENCY </w:t>
      </w:r>
    </w:p>
    <w:p w14:paraId="7F50077E"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1. State that this is a Biohazard Emergency </w:t>
      </w:r>
    </w:p>
    <w:p w14:paraId="3C3C78AA"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2. Give Your Name </w:t>
      </w:r>
    </w:p>
    <w:p w14:paraId="76EDF064"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3. Give Your Location (Room and Building) </w:t>
      </w:r>
    </w:p>
    <w:p w14:paraId="212C15FB"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4. Give the Phone Number You Are Using </w:t>
      </w:r>
    </w:p>
    <w:p w14:paraId="3353F628"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5. Describe the Nature of the Emergency </w:t>
      </w:r>
    </w:p>
    <w:p w14:paraId="37172A4F" w14:textId="2C771ADA"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 xml:space="preserve">6. Report </w:t>
      </w:r>
      <w:r w:rsidR="007A4D3C">
        <w:rPr>
          <w:rFonts w:eastAsia="Calibri" w:cs="Times New Roman"/>
          <w:kern w:val="0"/>
          <w:sz w:val="22"/>
          <w:szCs w:val="22"/>
          <w14:ligatures w14:val="none"/>
        </w:rPr>
        <w:t xml:space="preserve">the </w:t>
      </w:r>
      <w:r w:rsidRPr="00A035D4">
        <w:rPr>
          <w:rFonts w:eastAsia="Calibri" w:cs="Times New Roman"/>
          <w:kern w:val="0"/>
          <w:sz w:val="22"/>
          <w:szCs w:val="22"/>
          <w14:ligatures w14:val="none"/>
        </w:rPr>
        <w:t>Personal Injury or Threat of Injury</w:t>
      </w:r>
    </w:p>
    <w:p w14:paraId="0EBEE102"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p>
    <w:p w14:paraId="4BCAC811" w14:textId="77777777" w:rsidR="00A035D4" w:rsidRPr="00A035D4" w:rsidRDefault="00A035D4" w:rsidP="00A035D4">
      <w:pPr>
        <w:autoSpaceDE w:val="0"/>
        <w:autoSpaceDN w:val="0"/>
        <w:adjustRightInd w:val="0"/>
        <w:spacing w:after="0" w:line="240" w:lineRule="auto"/>
        <w:rPr>
          <w:rFonts w:eastAsia="Calibri" w:cs="Times New Roman"/>
          <w:b/>
          <w:bCs/>
          <w:kern w:val="0"/>
          <w:sz w:val="22"/>
          <w:szCs w:val="22"/>
          <w14:ligatures w14:val="none"/>
        </w:rPr>
      </w:pPr>
      <w:r w:rsidRPr="00A035D4">
        <w:rPr>
          <w:rFonts w:eastAsia="Calibri" w:cs="Times New Roman"/>
          <w:b/>
          <w:bCs/>
          <w:kern w:val="0"/>
          <w:sz w:val="22"/>
          <w:szCs w:val="22"/>
          <w14:ligatures w14:val="none"/>
        </w:rPr>
        <w:t>MEDICAL SERVICES</w:t>
      </w:r>
    </w:p>
    <w:p w14:paraId="3D6A12D0"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Altru Hospital Emergency Room</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701.780.5000 or 911</w:t>
      </w:r>
    </w:p>
    <w:p w14:paraId="296078DA"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Occupational Health Services – Altru</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701.780.1546</w:t>
      </w:r>
    </w:p>
    <w:p w14:paraId="7508FB04" w14:textId="77777777" w:rsidR="00A035D4" w:rsidRPr="00A035D4" w:rsidRDefault="00A035D4" w:rsidP="00A035D4">
      <w:pPr>
        <w:autoSpaceDE w:val="0"/>
        <w:autoSpaceDN w:val="0"/>
        <w:adjustRightInd w:val="0"/>
        <w:spacing w:after="0" w:line="240" w:lineRule="auto"/>
        <w:rPr>
          <w:rFonts w:eastAsia="Calibri" w:cs="Times New Roman"/>
          <w:kern w:val="0"/>
          <w:sz w:val="22"/>
          <w:szCs w:val="22"/>
          <w14:ligatures w14:val="none"/>
        </w:rPr>
      </w:pPr>
      <w:r w:rsidRPr="00A035D4">
        <w:rPr>
          <w:rFonts w:eastAsia="Calibri" w:cs="Times New Roman"/>
          <w:kern w:val="0"/>
          <w:sz w:val="22"/>
          <w:szCs w:val="22"/>
          <w14:ligatures w14:val="none"/>
        </w:rPr>
        <w:t>UND Student Health Services</w:t>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r>
      <w:r w:rsidRPr="00A035D4">
        <w:rPr>
          <w:rFonts w:eastAsia="Calibri" w:cs="Times New Roman"/>
          <w:kern w:val="0"/>
          <w:sz w:val="22"/>
          <w:szCs w:val="22"/>
          <w14:ligatures w14:val="none"/>
        </w:rPr>
        <w:tab/>
        <w:t>701.777.4500</w:t>
      </w:r>
    </w:p>
    <w:p w14:paraId="7EF35E6D" w14:textId="77777777" w:rsidR="00A035D4" w:rsidRDefault="00A035D4" w:rsidP="007C65DA">
      <w:pPr>
        <w:rPr>
          <w:b/>
          <w:bCs/>
          <w:sz w:val="28"/>
          <w:szCs w:val="28"/>
        </w:rPr>
      </w:pPr>
    </w:p>
    <w:p w14:paraId="5ADF52C1" w14:textId="658A1FD0" w:rsidR="007C65DA" w:rsidRPr="0014205E" w:rsidRDefault="007C65DA" w:rsidP="0014205E">
      <w:pPr>
        <w:spacing w:after="120"/>
        <w:rPr>
          <w:b/>
          <w:bCs/>
          <w:sz w:val="28"/>
          <w:szCs w:val="28"/>
        </w:rPr>
      </w:pPr>
      <w:r w:rsidRPr="0014205E">
        <w:rPr>
          <w:b/>
          <w:bCs/>
          <w:sz w:val="28"/>
          <w:szCs w:val="28"/>
        </w:rPr>
        <w:lastRenderedPageBreak/>
        <w:t>SECTION 1: INTRODUCTION</w:t>
      </w:r>
    </w:p>
    <w:p w14:paraId="2EC72FF7" w14:textId="77777777" w:rsidR="00886C31" w:rsidRDefault="00886C31" w:rsidP="008835FA">
      <w:pPr>
        <w:rPr>
          <w:sz w:val="22"/>
          <w:szCs w:val="22"/>
        </w:rPr>
      </w:pPr>
    </w:p>
    <w:p w14:paraId="4476A408" w14:textId="03B0C020" w:rsidR="007C65DA" w:rsidRPr="008835FA" w:rsidRDefault="007C65DA" w:rsidP="008835FA">
      <w:pPr>
        <w:rPr>
          <w:sz w:val="22"/>
          <w:szCs w:val="22"/>
        </w:rPr>
      </w:pPr>
      <w:r w:rsidRPr="008835FA">
        <w:rPr>
          <w:sz w:val="22"/>
          <w:szCs w:val="22"/>
        </w:rPr>
        <w:t xml:space="preserve">The University of </w:t>
      </w:r>
      <w:r w:rsidR="003263F4" w:rsidRPr="008835FA">
        <w:rPr>
          <w:sz w:val="22"/>
          <w:szCs w:val="22"/>
        </w:rPr>
        <w:t>North Dakota</w:t>
      </w:r>
      <w:r w:rsidRPr="008835FA">
        <w:rPr>
          <w:sz w:val="22"/>
          <w:szCs w:val="22"/>
        </w:rPr>
        <w:t xml:space="preserve"> (U</w:t>
      </w:r>
      <w:r w:rsidR="003263F4" w:rsidRPr="008835FA">
        <w:rPr>
          <w:sz w:val="22"/>
          <w:szCs w:val="22"/>
        </w:rPr>
        <w:t>ND</w:t>
      </w:r>
      <w:r w:rsidRPr="008835FA">
        <w:rPr>
          <w:sz w:val="22"/>
          <w:szCs w:val="22"/>
        </w:rPr>
        <w:t>) Biosafety Manual is a resource for information, guidelines, policies, and procedures that will encourage safe research and eliminate, or reduce, the potential for exposure to biohazards. The information presented here also reflects the requirements and guidelines of federal and state regulations. The U</w:t>
      </w:r>
      <w:r w:rsidR="003263F4" w:rsidRPr="008835FA">
        <w:rPr>
          <w:sz w:val="22"/>
          <w:szCs w:val="22"/>
        </w:rPr>
        <w:t>ND</w:t>
      </w:r>
      <w:r w:rsidRPr="008835FA">
        <w:rPr>
          <w:sz w:val="22"/>
          <w:szCs w:val="22"/>
        </w:rPr>
        <w:t xml:space="preserve"> Biosafety Manual is written to align with the CDC/NIH publication Biosafety in Microbiological and Biomedical Laboratories (BMBL) and the NIH Guidelines for Research Involving Recombinant or Synthetic Nucleic Acid Molecules.</w:t>
      </w:r>
    </w:p>
    <w:p w14:paraId="167FB2A8" w14:textId="1966017F" w:rsidR="007C65DA" w:rsidRPr="008835FA" w:rsidRDefault="007C65DA" w:rsidP="008835FA">
      <w:pPr>
        <w:rPr>
          <w:sz w:val="22"/>
          <w:szCs w:val="22"/>
        </w:rPr>
      </w:pPr>
      <w:r w:rsidRPr="008835FA">
        <w:rPr>
          <w:sz w:val="22"/>
          <w:szCs w:val="22"/>
        </w:rPr>
        <w:t xml:space="preserve">The Biosafety Manual is applicable to all </w:t>
      </w:r>
      <w:r w:rsidR="00FB0F15" w:rsidRPr="008835FA">
        <w:rPr>
          <w:sz w:val="22"/>
          <w:szCs w:val="22"/>
        </w:rPr>
        <w:t>laboratory</w:t>
      </w:r>
      <w:r w:rsidRPr="008835FA">
        <w:rPr>
          <w:sz w:val="22"/>
          <w:szCs w:val="22"/>
        </w:rPr>
        <w:t>, research, teaching, and support activities that may involve biohazards</w:t>
      </w:r>
      <w:r w:rsidR="00B733F9">
        <w:rPr>
          <w:sz w:val="22"/>
          <w:szCs w:val="22"/>
        </w:rPr>
        <w:t>,</w:t>
      </w:r>
      <w:r w:rsidRPr="008835FA">
        <w:rPr>
          <w:sz w:val="22"/>
          <w:szCs w:val="22"/>
        </w:rPr>
        <w:t xml:space="preserve"> bacteria, biological toxins, viruses, fungi, rickettsia, prions, protozoans, parasites, genetically modified organisms, and recombinant or synthetic nucleic acid molecules. In addition, biohazards include human blood, body fluid, tissues, and cell lines of human origin and certain animal-derived tissues, fluids, and cells.</w:t>
      </w:r>
    </w:p>
    <w:p w14:paraId="3BF59226" w14:textId="412FAB26" w:rsidR="007C65DA" w:rsidRPr="008835FA" w:rsidRDefault="007C65DA" w:rsidP="008835FA">
      <w:pPr>
        <w:rPr>
          <w:sz w:val="22"/>
          <w:szCs w:val="22"/>
        </w:rPr>
      </w:pPr>
      <w:r w:rsidRPr="008835FA">
        <w:rPr>
          <w:sz w:val="22"/>
          <w:szCs w:val="22"/>
        </w:rPr>
        <w:t>The most current version of the U</w:t>
      </w:r>
      <w:r w:rsidR="003263F4" w:rsidRPr="008835FA">
        <w:rPr>
          <w:sz w:val="22"/>
          <w:szCs w:val="22"/>
        </w:rPr>
        <w:t>ND</w:t>
      </w:r>
      <w:r w:rsidRPr="008835FA">
        <w:rPr>
          <w:sz w:val="22"/>
          <w:szCs w:val="22"/>
        </w:rPr>
        <w:t xml:space="preserve"> Biosafety Manual will be maintained on the </w:t>
      </w:r>
      <w:r w:rsidR="003263F4" w:rsidRPr="008835FA">
        <w:rPr>
          <w:sz w:val="22"/>
          <w:szCs w:val="22"/>
        </w:rPr>
        <w:t xml:space="preserve">UND Office of </w:t>
      </w:r>
      <w:r w:rsidRPr="008835FA">
        <w:rPr>
          <w:sz w:val="22"/>
          <w:szCs w:val="22"/>
        </w:rPr>
        <w:t xml:space="preserve">Safety website. The Biosafety Manual will be reviewed and updated annually by the </w:t>
      </w:r>
      <w:r w:rsidR="003263F4" w:rsidRPr="008835FA">
        <w:rPr>
          <w:sz w:val="22"/>
          <w:szCs w:val="22"/>
        </w:rPr>
        <w:t>Laboratory and Research S</w:t>
      </w:r>
      <w:r w:rsidRPr="008835FA">
        <w:rPr>
          <w:sz w:val="22"/>
          <w:szCs w:val="22"/>
        </w:rPr>
        <w:t>afety Officer.</w:t>
      </w:r>
    </w:p>
    <w:p w14:paraId="56F4A1B5" w14:textId="1E29774D" w:rsidR="007C65DA" w:rsidRPr="008835FA" w:rsidRDefault="007C65DA" w:rsidP="008835FA">
      <w:pPr>
        <w:rPr>
          <w:sz w:val="22"/>
          <w:szCs w:val="22"/>
        </w:rPr>
      </w:pPr>
      <w:r w:rsidRPr="008835FA">
        <w:rPr>
          <w:sz w:val="22"/>
          <w:szCs w:val="22"/>
        </w:rPr>
        <w:t>The U</w:t>
      </w:r>
      <w:r w:rsidR="003263F4" w:rsidRPr="008835FA">
        <w:rPr>
          <w:sz w:val="22"/>
          <w:szCs w:val="22"/>
        </w:rPr>
        <w:t>ND</w:t>
      </w:r>
      <w:r w:rsidRPr="008835FA">
        <w:rPr>
          <w:sz w:val="22"/>
          <w:szCs w:val="22"/>
        </w:rPr>
        <w:t xml:space="preserve"> Biosafety Manual should not be considered the only reference to address biological safety. The Principal Investigator (PI) or supervisory personnel must conduct and document lab specific biosafety training. </w:t>
      </w:r>
      <w:r w:rsidR="00124A89">
        <w:rPr>
          <w:sz w:val="22"/>
          <w:szCs w:val="22"/>
        </w:rPr>
        <w:t xml:space="preserve">Additional </w:t>
      </w:r>
      <w:r w:rsidR="00124A89" w:rsidRPr="00124A89">
        <w:rPr>
          <w:sz w:val="22"/>
          <w:szCs w:val="22"/>
        </w:rPr>
        <w:t>d</w:t>
      </w:r>
      <w:r w:rsidRPr="00124A89">
        <w:rPr>
          <w:sz w:val="22"/>
          <w:szCs w:val="22"/>
        </w:rPr>
        <w:t xml:space="preserve">ocuments are available on the </w:t>
      </w:r>
      <w:r w:rsidR="003263F4" w:rsidRPr="00124A89">
        <w:rPr>
          <w:sz w:val="22"/>
          <w:szCs w:val="22"/>
        </w:rPr>
        <w:t>Office of Safety</w:t>
      </w:r>
      <w:r w:rsidRPr="00124A89">
        <w:rPr>
          <w:sz w:val="22"/>
          <w:szCs w:val="22"/>
        </w:rPr>
        <w:t xml:space="preserve"> website to provide instruction and guidance regarding specific practices and procedures conducted in their lab.</w:t>
      </w:r>
    </w:p>
    <w:p w14:paraId="01EC77CC" w14:textId="60D0C3C9" w:rsidR="007C65DA" w:rsidRPr="008835FA" w:rsidRDefault="007C65DA" w:rsidP="008835FA">
      <w:pPr>
        <w:rPr>
          <w:sz w:val="22"/>
          <w:szCs w:val="22"/>
        </w:rPr>
      </w:pPr>
      <w:r w:rsidRPr="008835FA">
        <w:rPr>
          <w:sz w:val="22"/>
          <w:szCs w:val="22"/>
        </w:rPr>
        <w:t>The Exposure Control Plan (ECP) applies to all U</w:t>
      </w:r>
      <w:r w:rsidR="00FB0F15" w:rsidRPr="008835FA">
        <w:rPr>
          <w:sz w:val="22"/>
          <w:szCs w:val="22"/>
        </w:rPr>
        <w:t>ND</w:t>
      </w:r>
      <w:r w:rsidRPr="008835FA">
        <w:rPr>
          <w:sz w:val="22"/>
          <w:szCs w:val="22"/>
        </w:rPr>
        <w:t xml:space="preserve"> departments whose employees may reasonably anticipate contact with blood or other potentially infectious materials (OPIM) during the performance of their duties. In compliance with the Occupational Safety and Health Administration (OSHA) Bloodborne </w:t>
      </w:r>
      <w:r w:rsidR="00FB0F15" w:rsidRPr="008835FA">
        <w:rPr>
          <w:sz w:val="22"/>
          <w:szCs w:val="22"/>
        </w:rPr>
        <w:t>Pathogens</w:t>
      </w:r>
      <w:r w:rsidRPr="008835FA">
        <w:rPr>
          <w:sz w:val="22"/>
          <w:szCs w:val="22"/>
        </w:rPr>
        <w:t xml:space="preserve"> Standard, U</w:t>
      </w:r>
      <w:r w:rsidR="00FB0F15" w:rsidRPr="008835FA">
        <w:rPr>
          <w:sz w:val="22"/>
          <w:szCs w:val="22"/>
        </w:rPr>
        <w:t>ND</w:t>
      </w:r>
      <w:r w:rsidRPr="008835FA">
        <w:rPr>
          <w:sz w:val="22"/>
          <w:szCs w:val="22"/>
        </w:rPr>
        <w:t xml:space="preserve"> requires all departments that fall within the scope of this policy to minimize employee risk from exposure and infection by implementing the </w:t>
      </w:r>
      <w:r w:rsidR="00FB0F15" w:rsidRPr="008835FA">
        <w:rPr>
          <w:sz w:val="22"/>
          <w:szCs w:val="22"/>
        </w:rPr>
        <w:t>ECP</w:t>
      </w:r>
      <w:r w:rsidRPr="008835FA">
        <w:rPr>
          <w:sz w:val="22"/>
          <w:szCs w:val="22"/>
        </w:rPr>
        <w:t>.</w:t>
      </w:r>
    </w:p>
    <w:p w14:paraId="67BC74D2" w14:textId="77777777" w:rsidR="007C65DA" w:rsidRPr="008835FA" w:rsidRDefault="007C65DA" w:rsidP="008835FA">
      <w:pPr>
        <w:rPr>
          <w:b/>
          <w:bCs/>
          <w:sz w:val="22"/>
          <w:szCs w:val="22"/>
        </w:rPr>
      </w:pPr>
      <w:r w:rsidRPr="008835FA">
        <w:rPr>
          <w:b/>
          <w:bCs/>
          <w:sz w:val="22"/>
          <w:szCs w:val="22"/>
        </w:rPr>
        <w:t>Acknowledgement</w:t>
      </w:r>
    </w:p>
    <w:p w14:paraId="43DA8078" w14:textId="7CFC9E6A" w:rsidR="007C65DA" w:rsidRPr="008835FA" w:rsidRDefault="007C65DA" w:rsidP="008835FA">
      <w:pPr>
        <w:rPr>
          <w:sz w:val="22"/>
          <w:szCs w:val="22"/>
        </w:rPr>
      </w:pPr>
      <w:r w:rsidRPr="008835FA">
        <w:rPr>
          <w:sz w:val="22"/>
          <w:szCs w:val="22"/>
        </w:rPr>
        <w:t>PIs and all laboratory personnel active in research within laboratories under their charge must agree to comply with the provisions of the U</w:t>
      </w:r>
      <w:r w:rsidR="00FB0F15" w:rsidRPr="008835FA">
        <w:rPr>
          <w:sz w:val="22"/>
          <w:szCs w:val="22"/>
        </w:rPr>
        <w:t>ND</w:t>
      </w:r>
      <w:r w:rsidRPr="008835FA">
        <w:rPr>
          <w:sz w:val="22"/>
          <w:szCs w:val="22"/>
        </w:rPr>
        <w:t xml:space="preserve"> Biosafety Manual and to complete both </w:t>
      </w:r>
      <w:r w:rsidR="00FB0F15" w:rsidRPr="008835FA">
        <w:rPr>
          <w:sz w:val="22"/>
          <w:szCs w:val="22"/>
        </w:rPr>
        <w:t>Office of Safety</w:t>
      </w:r>
      <w:r w:rsidRPr="008835FA">
        <w:rPr>
          <w:sz w:val="22"/>
          <w:szCs w:val="22"/>
        </w:rPr>
        <w:t xml:space="preserve"> online biosafety training and lab specific biosafety training to address hazard conditions which are specific to the laboratory spaces under their charge. The contents of this manual must be reviewed with laboratory personnel, and they must be given the opportunity to ask questions or voice concerns regarding their job description and work environment.</w:t>
      </w:r>
    </w:p>
    <w:p w14:paraId="307F66D1" w14:textId="47EDF78D" w:rsidR="007C65DA" w:rsidRPr="008835FA" w:rsidRDefault="007C65DA" w:rsidP="008835FA">
      <w:pPr>
        <w:rPr>
          <w:b/>
          <w:bCs/>
          <w:sz w:val="22"/>
          <w:szCs w:val="22"/>
        </w:rPr>
      </w:pPr>
      <w:r w:rsidRPr="008835FA">
        <w:rPr>
          <w:b/>
          <w:bCs/>
          <w:sz w:val="22"/>
          <w:szCs w:val="22"/>
        </w:rPr>
        <w:t>Biological Materials Policy Statement</w:t>
      </w:r>
    </w:p>
    <w:p w14:paraId="229836FF" w14:textId="2B13B908" w:rsidR="007C65DA" w:rsidRPr="008835FA" w:rsidRDefault="007C65DA" w:rsidP="008835FA">
      <w:pPr>
        <w:rPr>
          <w:sz w:val="22"/>
          <w:szCs w:val="22"/>
        </w:rPr>
      </w:pPr>
      <w:r w:rsidRPr="008835FA">
        <w:rPr>
          <w:sz w:val="22"/>
          <w:szCs w:val="22"/>
        </w:rPr>
        <w:t>All research with potentially hazardous biological materials must be registered with the U</w:t>
      </w:r>
      <w:r w:rsidR="00FB0F15" w:rsidRPr="008835FA">
        <w:rPr>
          <w:sz w:val="22"/>
          <w:szCs w:val="22"/>
        </w:rPr>
        <w:t>ND</w:t>
      </w:r>
      <w:r w:rsidRPr="008835FA">
        <w:rPr>
          <w:sz w:val="22"/>
          <w:szCs w:val="22"/>
        </w:rPr>
        <w:t xml:space="preserve"> Institutional Biosafety Committee (IBC). It is the policy of the Institutional Biosafety Committee </w:t>
      </w:r>
      <w:r w:rsidRPr="008835FA">
        <w:rPr>
          <w:sz w:val="22"/>
          <w:szCs w:val="22"/>
        </w:rPr>
        <w:lastRenderedPageBreak/>
        <w:t>(IBC) that researchers working with biohazards at the university will adhere to the Biosafety Manual when implementing the IBC-approved biosafety level in their laboratory.</w:t>
      </w:r>
    </w:p>
    <w:p w14:paraId="44828AA9" w14:textId="77777777" w:rsidR="007C65DA" w:rsidRPr="008835FA" w:rsidRDefault="007C65DA" w:rsidP="008835FA">
      <w:pPr>
        <w:rPr>
          <w:sz w:val="22"/>
          <w:szCs w:val="22"/>
        </w:rPr>
      </w:pPr>
      <w:r w:rsidRPr="008835FA">
        <w:rPr>
          <w:sz w:val="22"/>
          <w:szCs w:val="22"/>
        </w:rPr>
        <w:t>The potentially hazardous biological materials are as follows:</w:t>
      </w:r>
    </w:p>
    <w:p w14:paraId="7D11C3A6" w14:textId="5A0E07C8" w:rsidR="00FB0F15" w:rsidRPr="008835FA" w:rsidRDefault="007C65DA" w:rsidP="000A313A">
      <w:pPr>
        <w:pStyle w:val="ListParagraph"/>
        <w:numPr>
          <w:ilvl w:val="0"/>
          <w:numId w:val="25"/>
        </w:numPr>
        <w:rPr>
          <w:sz w:val="22"/>
          <w:szCs w:val="22"/>
        </w:rPr>
      </w:pPr>
      <w:r w:rsidRPr="008835FA">
        <w:rPr>
          <w:sz w:val="22"/>
          <w:szCs w:val="22"/>
        </w:rPr>
        <w:t>Recombinant DNA and synthetic nucleic acid molecules (</w:t>
      </w:r>
      <w:r w:rsidR="00353560" w:rsidRPr="008835FA">
        <w:rPr>
          <w:sz w:val="22"/>
          <w:szCs w:val="22"/>
        </w:rPr>
        <w:t>includ</w:t>
      </w:r>
      <w:r w:rsidR="00353560">
        <w:rPr>
          <w:sz w:val="22"/>
          <w:szCs w:val="22"/>
        </w:rPr>
        <w:t>ing</w:t>
      </w:r>
      <w:r w:rsidRPr="008835FA">
        <w:rPr>
          <w:sz w:val="22"/>
          <w:szCs w:val="22"/>
        </w:rPr>
        <w:t xml:space="preserve"> human gene </w:t>
      </w:r>
      <w:r w:rsidR="007A4D3C">
        <w:rPr>
          <w:sz w:val="22"/>
          <w:szCs w:val="22"/>
        </w:rPr>
        <w:t>t</w:t>
      </w:r>
      <w:r w:rsidRPr="008835FA">
        <w:rPr>
          <w:sz w:val="22"/>
          <w:szCs w:val="22"/>
        </w:rPr>
        <w:t>ransfer studies)</w:t>
      </w:r>
    </w:p>
    <w:p w14:paraId="0AEB2CCE" w14:textId="77777777" w:rsidR="00FB0F15" w:rsidRPr="008835FA" w:rsidRDefault="007C65DA" w:rsidP="000A313A">
      <w:pPr>
        <w:pStyle w:val="ListParagraph"/>
        <w:numPr>
          <w:ilvl w:val="0"/>
          <w:numId w:val="25"/>
        </w:numPr>
        <w:rPr>
          <w:sz w:val="22"/>
          <w:szCs w:val="22"/>
        </w:rPr>
      </w:pPr>
      <w:r w:rsidRPr="008835FA">
        <w:rPr>
          <w:sz w:val="22"/>
          <w:szCs w:val="22"/>
        </w:rPr>
        <w:t>Infectious agent</w:t>
      </w:r>
      <w:r w:rsidR="00FB0F15" w:rsidRPr="008835FA">
        <w:rPr>
          <w:sz w:val="22"/>
          <w:szCs w:val="22"/>
        </w:rPr>
        <w:t>s</w:t>
      </w:r>
    </w:p>
    <w:p w14:paraId="3080A413" w14:textId="77777777" w:rsidR="00FB0F15" w:rsidRPr="008835FA" w:rsidRDefault="007C65DA" w:rsidP="000A313A">
      <w:pPr>
        <w:pStyle w:val="ListParagraph"/>
        <w:numPr>
          <w:ilvl w:val="0"/>
          <w:numId w:val="25"/>
        </w:numPr>
        <w:rPr>
          <w:sz w:val="22"/>
          <w:szCs w:val="22"/>
        </w:rPr>
      </w:pPr>
      <w:r w:rsidRPr="008835FA">
        <w:rPr>
          <w:sz w:val="22"/>
          <w:szCs w:val="22"/>
        </w:rPr>
        <w:t>Biological toxins</w:t>
      </w:r>
    </w:p>
    <w:p w14:paraId="38BB9B78" w14:textId="77777777" w:rsidR="00FB0F15" w:rsidRPr="008835FA" w:rsidRDefault="007C65DA" w:rsidP="000A313A">
      <w:pPr>
        <w:pStyle w:val="ListParagraph"/>
        <w:numPr>
          <w:ilvl w:val="0"/>
          <w:numId w:val="25"/>
        </w:numPr>
        <w:rPr>
          <w:sz w:val="22"/>
          <w:szCs w:val="22"/>
        </w:rPr>
      </w:pPr>
      <w:r w:rsidRPr="008835FA">
        <w:rPr>
          <w:sz w:val="22"/>
          <w:szCs w:val="22"/>
        </w:rPr>
        <w:t>Human-derived tissues, fluids, cells</w:t>
      </w:r>
    </w:p>
    <w:p w14:paraId="1BC92209" w14:textId="77777777" w:rsidR="00FB0F15" w:rsidRPr="008835FA" w:rsidRDefault="007C65DA" w:rsidP="000A313A">
      <w:pPr>
        <w:pStyle w:val="ListParagraph"/>
        <w:numPr>
          <w:ilvl w:val="0"/>
          <w:numId w:val="25"/>
        </w:numPr>
        <w:rPr>
          <w:sz w:val="22"/>
          <w:szCs w:val="22"/>
        </w:rPr>
      </w:pPr>
      <w:r w:rsidRPr="008835FA">
        <w:rPr>
          <w:sz w:val="22"/>
          <w:szCs w:val="22"/>
        </w:rPr>
        <w:t>Certain animal-derived tissues, fluids, cells</w:t>
      </w:r>
    </w:p>
    <w:p w14:paraId="247426AC" w14:textId="7224C413" w:rsidR="007C65DA" w:rsidRPr="008835FA" w:rsidRDefault="00FB0F15" w:rsidP="000A313A">
      <w:pPr>
        <w:pStyle w:val="ListParagraph"/>
        <w:numPr>
          <w:ilvl w:val="0"/>
          <w:numId w:val="25"/>
        </w:numPr>
        <w:rPr>
          <w:sz w:val="22"/>
          <w:szCs w:val="22"/>
        </w:rPr>
      </w:pPr>
      <w:r w:rsidRPr="008835FA">
        <w:rPr>
          <w:sz w:val="22"/>
          <w:szCs w:val="22"/>
        </w:rPr>
        <w:t>Federally regulated</w:t>
      </w:r>
      <w:r w:rsidR="007C65DA" w:rsidRPr="008835FA">
        <w:rPr>
          <w:sz w:val="22"/>
          <w:szCs w:val="22"/>
        </w:rPr>
        <w:t xml:space="preserve"> Select Agents, experiments with Dual Use Research of Concern </w:t>
      </w:r>
      <w:r w:rsidR="00E637BF">
        <w:rPr>
          <w:sz w:val="22"/>
          <w:szCs w:val="22"/>
        </w:rPr>
        <w:t>P</w:t>
      </w:r>
      <w:r w:rsidR="007C65DA" w:rsidRPr="008835FA">
        <w:rPr>
          <w:sz w:val="22"/>
          <w:szCs w:val="22"/>
        </w:rPr>
        <w:t>otential,</w:t>
      </w:r>
      <w:r w:rsidR="00E637BF">
        <w:rPr>
          <w:sz w:val="22"/>
          <w:szCs w:val="22"/>
        </w:rPr>
        <w:t xml:space="preserve"> </w:t>
      </w:r>
      <w:r w:rsidR="00E637BF" w:rsidRPr="00E637BF">
        <w:rPr>
          <w:sz w:val="22"/>
          <w:szCs w:val="22"/>
        </w:rPr>
        <w:t>Pathogens with enhanced Pandemic Potential</w:t>
      </w:r>
      <w:r w:rsidR="007C65DA" w:rsidRPr="008835FA">
        <w:rPr>
          <w:sz w:val="22"/>
          <w:szCs w:val="22"/>
        </w:rPr>
        <w:t xml:space="preserve"> and research requiring BSL3 containment</w:t>
      </w:r>
    </w:p>
    <w:p w14:paraId="6B00A267" w14:textId="77777777" w:rsidR="0014205E" w:rsidRPr="008835FA" w:rsidRDefault="0014205E" w:rsidP="008835FA">
      <w:pPr>
        <w:rPr>
          <w:b/>
          <w:bCs/>
          <w:sz w:val="22"/>
          <w:szCs w:val="22"/>
        </w:rPr>
      </w:pPr>
    </w:p>
    <w:p w14:paraId="484ED879" w14:textId="77777777" w:rsidR="00904C79" w:rsidRDefault="00904C79">
      <w:pPr>
        <w:rPr>
          <w:b/>
          <w:bCs/>
          <w:sz w:val="28"/>
          <w:szCs w:val="28"/>
        </w:rPr>
      </w:pPr>
      <w:r>
        <w:rPr>
          <w:b/>
          <w:bCs/>
          <w:sz w:val="28"/>
          <w:szCs w:val="28"/>
        </w:rPr>
        <w:br w:type="page"/>
      </w:r>
    </w:p>
    <w:p w14:paraId="4AEFCE6A" w14:textId="04C302CB" w:rsidR="00532D11" w:rsidRDefault="00532D11" w:rsidP="00532D11">
      <w:pPr>
        <w:spacing w:after="120"/>
        <w:rPr>
          <w:b/>
          <w:bCs/>
          <w:sz w:val="28"/>
          <w:szCs w:val="28"/>
        </w:rPr>
      </w:pPr>
      <w:r w:rsidRPr="003565AB">
        <w:rPr>
          <w:b/>
          <w:bCs/>
          <w:sz w:val="28"/>
          <w:szCs w:val="28"/>
        </w:rPr>
        <w:lastRenderedPageBreak/>
        <w:t xml:space="preserve">SECTION </w:t>
      </w:r>
      <w:r>
        <w:rPr>
          <w:b/>
          <w:bCs/>
          <w:sz w:val="28"/>
          <w:szCs w:val="28"/>
        </w:rPr>
        <w:t>2</w:t>
      </w:r>
      <w:r w:rsidRPr="003565AB">
        <w:rPr>
          <w:b/>
          <w:bCs/>
          <w:sz w:val="28"/>
          <w:szCs w:val="28"/>
        </w:rPr>
        <w:t>: CULTURE OF SAFETY</w:t>
      </w:r>
    </w:p>
    <w:p w14:paraId="51A7790B" w14:textId="77777777" w:rsidR="00532D11" w:rsidRDefault="00532D11" w:rsidP="00532D11">
      <w:pPr>
        <w:spacing w:after="120"/>
        <w:rPr>
          <w:b/>
          <w:bCs/>
          <w:u w:val="single"/>
        </w:rPr>
      </w:pPr>
    </w:p>
    <w:p w14:paraId="6CCEA719" w14:textId="1975A77F" w:rsidR="00532D11" w:rsidRPr="003565AB" w:rsidRDefault="00532D11" w:rsidP="00532D11">
      <w:pPr>
        <w:spacing w:after="120"/>
        <w:rPr>
          <w:b/>
          <w:bCs/>
          <w:u w:val="single"/>
        </w:rPr>
      </w:pPr>
      <w:bookmarkStart w:id="3" w:name="WhatisSafetyCulture"/>
      <w:r w:rsidRPr="003565AB">
        <w:rPr>
          <w:b/>
          <w:bCs/>
          <w:u w:val="single"/>
        </w:rPr>
        <w:t>What is Safety Culture?</w:t>
      </w:r>
    </w:p>
    <w:bookmarkEnd w:id="3"/>
    <w:p w14:paraId="4EED6E2E" w14:textId="052C48BD" w:rsidR="00532D11" w:rsidRPr="003565AB" w:rsidRDefault="00532D11" w:rsidP="00532D11">
      <w:pPr>
        <w:spacing w:after="120"/>
        <w:rPr>
          <w:sz w:val="22"/>
          <w:szCs w:val="22"/>
        </w:rPr>
      </w:pPr>
      <w:r w:rsidRPr="003565AB">
        <w:rPr>
          <w:sz w:val="22"/>
          <w:szCs w:val="22"/>
        </w:rPr>
        <w:t>Safety culture is a part</w:t>
      </w:r>
      <w:r>
        <w:rPr>
          <w:sz w:val="22"/>
          <w:szCs w:val="22"/>
        </w:rPr>
        <w:t xml:space="preserve"> </w:t>
      </w:r>
      <w:r w:rsidRPr="003565AB">
        <w:rPr>
          <w:sz w:val="22"/>
          <w:szCs w:val="22"/>
        </w:rPr>
        <w:t>of organizational culture and is often described by the phrase “the way we do things around here</w:t>
      </w:r>
      <w:r w:rsidR="00B267E9" w:rsidRPr="003565AB">
        <w:rPr>
          <w:sz w:val="22"/>
          <w:szCs w:val="22"/>
        </w:rPr>
        <w:t>.”</w:t>
      </w:r>
      <w:r w:rsidRPr="003565AB">
        <w:rPr>
          <w:sz w:val="22"/>
          <w:szCs w:val="22"/>
        </w:rPr>
        <w:t xml:space="preserve"> According to the</w:t>
      </w:r>
      <w:r>
        <w:rPr>
          <w:sz w:val="22"/>
          <w:szCs w:val="22"/>
        </w:rPr>
        <w:t xml:space="preserve"> </w:t>
      </w:r>
      <w:r w:rsidRPr="003565AB">
        <w:rPr>
          <w:sz w:val="22"/>
          <w:szCs w:val="22"/>
        </w:rPr>
        <w:t>American Chemical Society, safety culture at an academic institution is a “reflection of the actions, attitudes, and</w:t>
      </w:r>
      <w:r>
        <w:rPr>
          <w:sz w:val="22"/>
          <w:szCs w:val="22"/>
        </w:rPr>
        <w:t xml:space="preserve"> </w:t>
      </w:r>
      <w:r w:rsidRPr="003565AB">
        <w:rPr>
          <w:sz w:val="22"/>
          <w:szCs w:val="22"/>
        </w:rPr>
        <w:t>behaviors” demonstrated by the faculty, staff and students concerning safety</w:t>
      </w:r>
      <w:r w:rsidR="00B267E9" w:rsidRPr="003565AB">
        <w:rPr>
          <w:sz w:val="22"/>
          <w:szCs w:val="22"/>
        </w:rPr>
        <w:t>.”</w:t>
      </w:r>
    </w:p>
    <w:p w14:paraId="05A8BD8C" w14:textId="6C075DB8" w:rsidR="00532D11" w:rsidRDefault="00532D11" w:rsidP="00532D11">
      <w:pPr>
        <w:spacing w:after="120"/>
        <w:rPr>
          <w:sz w:val="22"/>
          <w:szCs w:val="22"/>
        </w:rPr>
      </w:pPr>
      <w:r w:rsidRPr="003565AB">
        <w:rPr>
          <w:sz w:val="22"/>
          <w:szCs w:val="22"/>
        </w:rPr>
        <w:t>Several high-profile accidents in the research world have led to the realization that ensuring excellence in research</w:t>
      </w:r>
      <w:r>
        <w:rPr>
          <w:sz w:val="22"/>
          <w:szCs w:val="22"/>
        </w:rPr>
        <w:t xml:space="preserve"> </w:t>
      </w:r>
      <w:r w:rsidRPr="003565AB">
        <w:rPr>
          <w:sz w:val="22"/>
          <w:szCs w:val="22"/>
        </w:rPr>
        <w:t>requires a strong, positive safety culture throughout the University. This means that safety is viewed as an operational</w:t>
      </w:r>
      <w:r>
        <w:rPr>
          <w:sz w:val="22"/>
          <w:szCs w:val="22"/>
        </w:rPr>
        <w:t xml:space="preserve"> </w:t>
      </w:r>
      <w:r w:rsidRPr="003565AB">
        <w:rPr>
          <w:sz w:val="22"/>
          <w:szCs w:val="22"/>
        </w:rPr>
        <w:t>priority, because of the benefits</w:t>
      </w:r>
      <w:r w:rsidR="00B733F9">
        <w:rPr>
          <w:sz w:val="22"/>
          <w:szCs w:val="22"/>
        </w:rPr>
        <w:t xml:space="preserve"> that</w:t>
      </w:r>
      <w:r w:rsidRPr="003565AB">
        <w:rPr>
          <w:sz w:val="22"/>
          <w:szCs w:val="22"/>
        </w:rPr>
        <w:t xml:space="preserve"> thoughtful, safe procedures and attitudes bring to research.</w:t>
      </w:r>
    </w:p>
    <w:p w14:paraId="391E252A" w14:textId="77777777" w:rsidR="00463F19" w:rsidRDefault="00463F19" w:rsidP="00532D11">
      <w:pPr>
        <w:spacing w:after="120"/>
        <w:rPr>
          <w:b/>
          <w:bCs/>
          <w:u w:val="single"/>
        </w:rPr>
      </w:pPr>
    </w:p>
    <w:p w14:paraId="357C4760" w14:textId="36962535" w:rsidR="00532D11" w:rsidRPr="003565AB" w:rsidRDefault="00532D11" w:rsidP="00532D11">
      <w:pPr>
        <w:spacing w:after="120"/>
        <w:rPr>
          <w:b/>
          <w:bCs/>
          <w:u w:val="single"/>
        </w:rPr>
      </w:pPr>
      <w:bookmarkStart w:id="4" w:name="SafeResearchatUND"/>
      <w:r w:rsidRPr="003565AB">
        <w:rPr>
          <w:b/>
          <w:bCs/>
          <w:u w:val="single"/>
        </w:rPr>
        <w:t>Safe Research at UND</w:t>
      </w:r>
    </w:p>
    <w:bookmarkEnd w:id="4"/>
    <w:p w14:paraId="7BCB0B75" w14:textId="37FE0FA1" w:rsidR="00532D11" w:rsidRDefault="00532D11" w:rsidP="00532D11">
      <w:pPr>
        <w:spacing w:after="120"/>
        <w:rPr>
          <w:sz w:val="22"/>
          <w:szCs w:val="22"/>
        </w:rPr>
      </w:pPr>
      <w:r w:rsidRPr="003565AB">
        <w:rPr>
          <w:sz w:val="22"/>
          <w:szCs w:val="22"/>
        </w:rPr>
        <w:t xml:space="preserve">As an academic institution, safety culture is part of the educational foundation that will accompany our students to their future careers, preparing them to be skilled scientists in academia or industry. Safety’s intrinsic value is seen in better reproducibility and productivity of research, as well as preventing tragic lab accidents that cost lives and knowledge. </w:t>
      </w:r>
      <w:r w:rsidR="00DE030D">
        <w:rPr>
          <w:sz w:val="22"/>
          <w:szCs w:val="22"/>
        </w:rPr>
        <w:t>It is</w:t>
      </w:r>
      <w:r w:rsidRPr="003565AB">
        <w:rPr>
          <w:sz w:val="22"/>
          <w:szCs w:val="22"/>
        </w:rPr>
        <w:t xml:space="preserve"> about shaping and defining a shared cultural approach, which</w:t>
      </w:r>
      <w:r>
        <w:rPr>
          <w:sz w:val="22"/>
          <w:szCs w:val="22"/>
        </w:rPr>
        <w:t xml:space="preserve"> </w:t>
      </w:r>
      <w:r w:rsidRPr="003565AB">
        <w:rPr>
          <w:sz w:val="22"/>
          <w:szCs w:val="22"/>
        </w:rPr>
        <w:t>integrates safety and health seamlessly with the work of our laboratories and classrooms.</w:t>
      </w:r>
    </w:p>
    <w:p w14:paraId="4B396517" w14:textId="5EE28FB4" w:rsidR="00532D11" w:rsidRDefault="00532D11" w:rsidP="00532D11">
      <w:pPr>
        <w:spacing w:after="120"/>
        <w:rPr>
          <w:sz w:val="22"/>
          <w:szCs w:val="22"/>
        </w:rPr>
      </w:pPr>
      <w:r w:rsidRPr="003565AB">
        <w:rPr>
          <w:sz w:val="22"/>
          <w:szCs w:val="22"/>
        </w:rPr>
        <w:t xml:space="preserve">To some degree, we all have experienced rules, regulations, compliance approvals, and inspections. It is </w:t>
      </w:r>
      <w:r w:rsidR="00DE030D" w:rsidRPr="003565AB">
        <w:rPr>
          <w:sz w:val="22"/>
          <w:szCs w:val="22"/>
        </w:rPr>
        <w:t>understood</w:t>
      </w:r>
      <w:r w:rsidRPr="003565AB">
        <w:rPr>
          <w:sz w:val="22"/>
          <w:szCs w:val="22"/>
        </w:rPr>
        <w:t xml:space="preserve"> that these are part of an established research environment. However, because of this experience, it is easy to incorrectly equate safety rules with safety and come to believe that adhering to a list of rules equates to being good at safety.</w:t>
      </w:r>
    </w:p>
    <w:p w14:paraId="73E8044F" w14:textId="65AAC531" w:rsidR="00532D11" w:rsidRDefault="00532D11" w:rsidP="00532D11">
      <w:pPr>
        <w:spacing w:after="120"/>
        <w:rPr>
          <w:sz w:val="22"/>
          <w:szCs w:val="22"/>
        </w:rPr>
      </w:pPr>
      <w:r w:rsidRPr="003565AB">
        <w:rPr>
          <w:sz w:val="22"/>
          <w:szCs w:val="22"/>
        </w:rPr>
        <w:t xml:space="preserve">In science, researchers think according to the principles: mathematical, </w:t>
      </w:r>
      <w:r w:rsidR="00B267E9" w:rsidRPr="003565AB">
        <w:rPr>
          <w:sz w:val="22"/>
          <w:szCs w:val="22"/>
        </w:rPr>
        <w:t>physical,</w:t>
      </w:r>
      <w:r w:rsidRPr="003565AB">
        <w:rPr>
          <w:sz w:val="22"/>
          <w:szCs w:val="22"/>
        </w:rPr>
        <w:t xml:space="preserve"> and chemical laws; biological</w:t>
      </w:r>
      <w:r>
        <w:rPr>
          <w:sz w:val="22"/>
          <w:szCs w:val="22"/>
        </w:rPr>
        <w:t xml:space="preserve"> </w:t>
      </w:r>
      <w:r w:rsidRPr="003565AB">
        <w:rPr>
          <w:sz w:val="22"/>
          <w:szCs w:val="22"/>
        </w:rPr>
        <w:t>paradigms. Frameworks and</w:t>
      </w:r>
      <w:r>
        <w:rPr>
          <w:sz w:val="22"/>
          <w:szCs w:val="22"/>
        </w:rPr>
        <w:t xml:space="preserve"> </w:t>
      </w:r>
      <w:r w:rsidRPr="003565AB">
        <w:rPr>
          <w:sz w:val="22"/>
          <w:szCs w:val="22"/>
        </w:rPr>
        <w:t xml:space="preserve">logic rather than memorization are </w:t>
      </w:r>
      <w:r w:rsidR="00C43930" w:rsidRPr="003565AB">
        <w:rPr>
          <w:sz w:val="22"/>
          <w:szCs w:val="22"/>
        </w:rPr>
        <w:t>used</w:t>
      </w:r>
      <w:r w:rsidRPr="003565AB">
        <w:rPr>
          <w:sz w:val="22"/>
          <w:szCs w:val="22"/>
        </w:rPr>
        <w:t xml:space="preserve"> to gain understanding and further knowledge. Safety should be no different.</w:t>
      </w:r>
      <w:r>
        <w:rPr>
          <w:sz w:val="22"/>
          <w:szCs w:val="22"/>
        </w:rPr>
        <w:t xml:space="preserve"> </w:t>
      </w:r>
      <w:r w:rsidRPr="003565AB">
        <w:rPr>
          <w:sz w:val="22"/>
          <w:szCs w:val="22"/>
        </w:rPr>
        <w:t>This starts with recognizing that safety is a fundamental part of the scientific process, adding value by exerting greater</w:t>
      </w:r>
      <w:r>
        <w:rPr>
          <w:sz w:val="22"/>
          <w:szCs w:val="22"/>
        </w:rPr>
        <w:t xml:space="preserve"> </w:t>
      </w:r>
      <w:r w:rsidRPr="003565AB">
        <w:rPr>
          <w:sz w:val="22"/>
          <w:szCs w:val="22"/>
        </w:rPr>
        <w:t>control, reducing uncertainty, and increasing the safety and quality of your results or product.</w:t>
      </w:r>
    </w:p>
    <w:p w14:paraId="7EACE12C" w14:textId="77777777" w:rsidR="00463F19" w:rsidRDefault="00463F19" w:rsidP="00532D11">
      <w:pPr>
        <w:spacing w:after="120"/>
        <w:rPr>
          <w:b/>
          <w:bCs/>
          <w:u w:val="single"/>
        </w:rPr>
      </w:pPr>
    </w:p>
    <w:p w14:paraId="26FA4C8D" w14:textId="54849DF7" w:rsidR="00532D11" w:rsidRDefault="00532D11" w:rsidP="00532D11">
      <w:pPr>
        <w:spacing w:after="120"/>
        <w:rPr>
          <w:b/>
          <w:bCs/>
          <w:u w:val="single"/>
        </w:rPr>
      </w:pPr>
      <w:bookmarkStart w:id="5" w:name="ResearchSafetyExpectations"/>
      <w:r w:rsidRPr="00972D90">
        <w:rPr>
          <w:b/>
          <w:bCs/>
          <w:u w:val="single"/>
        </w:rPr>
        <w:t>Research Safety Expectations</w:t>
      </w:r>
    </w:p>
    <w:bookmarkEnd w:id="5"/>
    <w:p w14:paraId="6B578ED1" w14:textId="1B1AEED4" w:rsidR="00532D11" w:rsidRDefault="00532D11" w:rsidP="00532D11">
      <w:pPr>
        <w:spacing w:after="120"/>
        <w:rPr>
          <w:sz w:val="22"/>
          <w:szCs w:val="22"/>
        </w:rPr>
      </w:pPr>
      <w:r w:rsidRPr="00972D90">
        <w:rPr>
          <w:sz w:val="22"/>
          <w:szCs w:val="22"/>
        </w:rPr>
        <w:t>The University expects that all members of our research community will integrate safety into their research activities and</w:t>
      </w:r>
      <w:r>
        <w:rPr>
          <w:sz w:val="22"/>
          <w:szCs w:val="22"/>
        </w:rPr>
        <w:t xml:space="preserve"> </w:t>
      </w:r>
      <w:r w:rsidRPr="00972D90">
        <w:rPr>
          <w:sz w:val="22"/>
          <w:szCs w:val="22"/>
        </w:rPr>
        <w:t>go beyond minimum compliance. The following elements help lay the foundation to build and support a safe</w:t>
      </w:r>
      <w:r>
        <w:rPr>
          <w:sz w:val="22"/>
          <w:szCs w:val="22"/>
        </w:rPr>
        <w:t xml:space="preserve"> </w:t>
      </w:r>
      <w:r w:rsidRPr="00972D90">
        <w:rPr>
          <w:sz w:val="22"/>
          <w:szCs w:val="22"/>
        </w:rPr>
        <w:t>and productive research environment:</w:t>
      </w:r>
    </w:p>
    <w:p w14:paraId="190EE0B6" w14:textId="77777777" w:rsidR="00532D11" w:rsidRDefault="00532D11" w:rsidP="00532D11">
      <w:pPr>
        <w:spacing w:after="120"/>
        <w:rPr>
          <w:sz w:val="22"/>
          <w:szCs w:val="22"/>
          <w:highlight w:val="yellow"/>
        </w:rPr>
      </w:pPr>
      <w:r>
        <w:rPr>
          <w:noProof/>
          <w:sz w:val="22"/>
          <w:szCs w:val="22"/>
        </w:rPr>
        <w:lastRenderedPageBreak/>
        <w:drawing>
          <wp:inline distT="0" distB="0" distL="0" distR="0" wp14:anchorId="7BCE7C16" wp14:editId="30F285D0">
            <wp:extent cx="5800725" cy="3943350"/>
            <wp:effectExtent l="0" t="38100" r="0" b="38100"/>
            <wp:docPr id="23501328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ACF7876" w14:textId="77777777" w:rsidR="00532D11" w:rsidRPr="00EF30C4" w:rsidRDefault="00532D11" w:rsidP="000A313A">
      <w:pPr>
        <w:pStyle w:val="ListParagraph"/>
        <w:numPr>
          <w:ilvl w:val="0"/>
          <w:numId w:val="48"/>
        </w:numPr>
        <w:spacing w:after="120"/>
        <w:ind w:left="360"/>
        <w:rPr>
          <w:b/>
          <w:bCs/>
          <w:sz w:val="22"/>
          <w:szCs w:val="22"/>
        </w:rPr>
      </w:pPr>
      <w:r w:rsidRPr="00EF30C4">
        <w:rPr>
          <w:b/>
          <w:bCs/>
          <w:sz w:val="22"/>
          <w:szCs w:val="22"/>
        </w:rPr>
        <w:t>Leadership:</w:t>
      </w:r>
    </w:p>
    <w:p w14:paraId="344D389C" w14:textId="77777777" w:rsidR="00532D11" w:rsidRPr="00972D90" w:rsidRDefault="00532D11" w:rsidP="00532D11">
      <w:pPr>
        <w:pStyle w:val="ListParagraph"/>
        <w:spacing w:after="120"/>
        <w:ind w:left="360"/>
        <w:rPr>
          <w:sz w:val="22"/>
          <w:szCs w:val="22"/>
        </w:rPr>
      </w:pPr>
      <w:r w:rsidRPr="00972D90">
        <w:rPr>
          <w:sz w:val="22"/>
          <w:szCs w:val="22"/>
        </w:rPr>
        <w:t>Lead by example, adhere to the rules, and be willing to speak up if you see unsafe practices. Faculty and other</w:t>
      </w:r>
      <w:r>
        <w:rPr>
          <w:sz w:val="22"/>
          <w:szCs w:val="22"/>
        </w:rPr>
        <w:t xml:space="preserve"> </w:t>
      </w:r>
      <w:r w:rsidRPr="00972D90">
        <w:rPr>
          <w:sz w:val="22"/>
          <w:szCs w:val="22"/>
        </w:rPr>
        <w:t>supervisor</w:t>
      </w:r>
      <w:r>
        <w:rPr>
          <w:sz w:val="22"/>
          <w:szCs w:val="22"/>
        </w:rPr>
        <w:t>s</w:t>
      </w:r>
      <w:r w:rsidRPr="00972D90">
        <w:rPr>
          <w:sz w:val="22"/>
          <w:szCs w:val="22"/>
        </w:rPr>
        <w:t xml:space="preserve"> are urged to include safety on the agenda and incorporate it into their group thinking and practices.</w:t>
      </w:r>
    </w:p>
    <w:p w14:paraId="11818853" w14:textId="77777777" w:rsidR="00532D11" w:rsidRPr="00972D90" w:rsidRDefault="00532D11" w:rsidP="000A313A">
      <w:pPr>
        <w:pStyle w:val="ListParagraph"/>
        <w:numPr>
          <w:ilvl w:val="0"/>
          <w:numId w:val="49"/>
        </w:numPr>
        <w:spacing w:after="120"/>
        <w:ind w:left="1080"/>
        <w:rPr>
          <w:sz w:val="22"/>
          <w:szCs w:val="22"/>
        </w:rPr>
      </w:pPr>
      <w:r w:rsidRPr="00972D90">
        <w:rPr>
          <w:sz w:val="22"/>
          <w:szCs w:val="22"/>
        </w:rPr>
        <w:t>Lab members openly discuss safety concerns.</w:t>
      </w:r>
    </w:p>
    <w:p w14:paraId="31578EDA" w14:textId="77777777" w:rsidR="00532D11" w:rsidRPr="00972D90" w:rsidRDefault="00532D11" w:rsidP="000A313A">
      <w:pPr>
        <w:pStyle w:val="ListParagraph"/>
        <w:numPr>
          <w:ilvl w:val="0"/>
          <w:numId w:val="49"/>
        </w:numPr>
        <w:spacing w:after="120"/>
        <w:ind w:left="1080"/>
        <w:rPr>
          <w:sz w:val="22"/>
          <w:szCs w:val="22"/>
        </w:rPr>
      </w:pPr>
      <w:r w:rsidRPr="00972D90">
        <w:rPr>
          <w:sz w:val="22"/>
          <w:szCs w:val="22"/>
        </w:rPr>
        <w:t>PI/laboratory manager and research group members maintain an environment in which personnel feel free to raise concerns.</w:t>
      </w:r>
    </w:p>
    <w:p w14:paraId="07100B9A" w14:textId="77777777" w:rsidR="00532D11" w:rsidRPr="00972D90" w:rsidRDefault="00532D11" w:rsidP="000A313A">
      <w:pPr>
        <w:pStyle w:val="ListParagraph"/>
        <w:numPr>
          <w:ilvl w:val="0"/>
          <w:numId w:val="49"/>
        </w:numPr>
        <w:spacing w:after="120"/>
        <w:ind w:left="1080"/>
        <w:rPr>
          <w:sz w:val="22"/>
          <w:szCs w:val="22"/>
        </w:rPr>
      </w:pPr>
      <w:r w:rsidRPr="00972D90">
        <w:rPr>
          <w:sz w:val="22"/>
          <w:szCs w:val="22"/>
        </w:rPr>
        <w:t>Actions confirm safety as a priority that supports and is compatible with good research.</w:t>
      </w:r>
    </w:p>
    <w:p w14:paraId="0D99D496" w14:textId="77777777" w:rsidR="00532D11" w:rsidRPr="00972D90" w:rsidRDefault="00532D11" w:rsidP="000A313A">
      <w:pPr>
        <w:pStyle w:val="ListParagraph"/>
        <w:numPr>
          <w:ilvl w:val="0"/>
          <w:numId w:val="49"/>
        </w:numPr>
        <w:spacing w:after="120"/>
        <w:ind w:left="1080"/>
        <w:rPr>
          <w:sz w:val="22"/>
          <w:szCs w:val="22"/>
        </w:rPr>
      </w:pPr>
      <w:r w:rsidRPr="00972D90">
        <w:rPr>
          <w:sz w:val="22"/>
          <w:szCs w:val="22"/>
        </w:rPr>
        <w:t>The feedback loop on safety issues (bottom-up and top down) is closed (addressed) at the PI/lab management level.</w:t>
      </w:r>
    </w:p>
    <w:p w14:paraId="617D3676" w14:textId="77777777" w:rsidR="00532D11" w:rsidRPr="00EF30C4" w:rsidRDefault="00532D11" w:rsidP="000A313A">
      <w:pPr>
        <w:pStyle w:val="ListParagraph"/>
        <w:numPr>
          <w:ilvl w:val="0"/>
          <w:numId w:val="48"/>
        </w:numPr>
        <w:spacing w:after="120"/>
        <w:ind w:left="360"/>
        <w:rPr>
          <w:b/>
          <w:bCs/>
          <w:sz w:val="22"/>
          <w:szCs w:val="22"/>
        </w:rPr>
      </w:pPr>
      <w:r w:rsidRPr="00EF30C4">
        <w:rPr>
          <w:b/>
          <w:bCs/>
          <w:sz w:val="22"/>
          <w:szCs w:val="22"/>
        </w:rPr>
        <w:t>Design:</w:t>
      </w:r>
    </w:p>
    <w:p w14:paraId="1B9F4102" w14:textId="77777777" w:rsidR="00532D11" w:rsidRPr="00972D90" w:rsidRDefault="00532D11" w:rsidP="00532D11">
      <w:pPr>
        <w:pStyle w:val="ListParagraph"/>
        <w:spacing w:after="120"/>
        <w:ind w:left="360"/>
        <w:rPr>
          <w:sz w:val="22"/>
          <w:szCs w:val="22"/>
        </w:rPr>
      </w:pPr>
      <w:r w:rsidRPr="00972D90">
        <w:rPr>
          <w:sz w:val="22"/>
          <w:szCs w:val="22"/>
        </w:rPr>
        <w:t>Take the time to systematically assess risk and plan for the hazards identified. Incorporate safety into laboratory</w:t>
      </w:r>
      <w:r>
        <w:rPr>
          <w:sz w:val="22"/>
          <w:szCs w:val="22"/>
        </w:rPr>
        <w:t xml:space="preserve"> </w:t>
      </w:r>
      <w:r w:rsidRPr="00972D90">
        <w:rPr>
          <w:sz w:val="22"/>
          <w:szCs w:val="22"/>
        </w:rPr>
        <w:t>procedures.</w:t>
      </w:r>
    </w:p>
    <w:p w14:paraId="478DB208" w14:textId="77777777" w:rsidR="00532D11" w:rsidRPr="00972D90" w:rsidRDefault="00532D11" w:rsidP="000A313A">
      <w:pPr>
        <w:pStyle w:val="ListParagraph"/>
        <w:numPr>
          <w:ilvl w:val="0"/>
          <w:numId w:val="50"/>
        </w:numPr>
        <w:spacing w:after="120"/>
        <w:ind w:left="1080"/>
        <w:rPr>
          <w:sz w:val="22"/>
          <w:szCs w:val="22"/>
        </w:rPr>
      </w:pPr>
      <w:r w:rsidRPr="00972D90">
        <w:rPr>
          <w:sz w:val="22"/>
          <w:szCs w:val="22"/>
        </w:rPr>
        <w:t>PI/lab manager understands the risks of the research being conducted, are actively involved in the laboratory safety</w:t>
      </w:r>
      <w:r>
        <w:rPr>
          <w:sz w:val="22"/>
          <w:szCs w:val="22"/>
        </w:rPr>
        <w:t xml:space="preserve"> </w:t>
      </w:r>
      <w:r w:rsidRPr="00972D90">
        <w:rPr>
          <w:sz w:val="22"/>
          <w:szCs w:val="22"/>
        </w:rPr>
        <w:t>program, and integrate safety into the laboratory research culture.</w:t>
      </w:r>
    </w:p>
    <w:p w14:paraId="21F3C19D" w14:textId="77777777" w:rsidR="00532D11" w:rsidRPr="00EF30C4" w:rsidRDefault="00532D11" w:rsidP="000A313A">
      <w:pPr>
        <w:pStyle w:val="ListParagraph"/>
        <w:numPr>
          <w:ilvl w:val="0"/>
          <w:numId w:val="48"/>
        </w:numPr>
        <w:spacing w:after="120"/>
        <w:ind w:left="360"/>
        <w:rPr>
          <w:b/>
          <w:bCs/>
          <w:sz w:val="22"/>
          <w:szCs w:val="22"/>
        </w:rPr>
      </w:pPr>
      <w:r w:rsidRPr="00EF30C4">
        <w:rPr>
          <w:b/>
          <w:bCs/>
          <w:sz w:val="22"/>
          <w:szCs w:val="22"/>
        </w:rPr>
        <w:t>Execution:</w:t>
      </w:r>
    </w:p>
    <w:p w14:paraId="1F575C4F" w14:textId="38F17A2E" w:rsidR="00532D11" w:rsidRPr="00972D90" w:rsidRDefault="00532D11" w:rsidP="00532D11">
      <w:pPr>
        <w:pStyle w:val="ListParagraph"/>
        <w:spacing w:after="120"/>
        <w:ind w:left="360"/>
        <w:rPr>
          <w:sz w:val="22"/>
          <w:szCs w:val="22"/>
        </w:rPr>
      </w:pPr>
      <w:r w:rsidRPr="00972D90">
        <w:rPr>
          <w:sz w:val="22"/>
          <w:szCs w:val="22"/>
        </w:rPr>
        <w:t>Take action to control your risks. Make sure you have the right protective equipment, engineering controls are</w:t>
      </w:r>
      <w:r>
        <w:rPr>
          <w:sz w:val="22"/>
          <w:szCs w:val="22"/>
        </w:rPr>
        <w:t xml:space="preserve"> </w:t>
      </w:r>
      <w:r w:rsidRPr="00972D90">
        <w:rPr>
          <w:sz w:val="22"/>
          <w:szCs w:val="22"/>
        </w:rPr>
        <w:t>working correctly, and researchers</w:t>
      </w:r>
      <w:r>
        <w:rPr>
          <w:sz w:val="22"/>
          <w:szCs w:val="22"/>
        </w:rPr>
        <w:t xml:space="preserve"> </w:t>
      </w:r>
      <w:r w:rsidRPr="00972D90">
        <w:rPr>
          <w:sz w:val="22"/>
          <w:szCs w:val="22"/>
        </w:rPr>
        <w:t xml:space="preserve">are training to </w:t>
      </w:r>
      <w:r w:rsidR="00C43930" w:rsidRPr="00972D90">
        <w:rPr>
          <w:sz w:val="22"/>
          <w:szCs w:val="22"/>
        </w:rPr>
        <w:t>safely</w:t>
      </w:r>
      <w:r w:rsidRPr="00972D90">
        <w:rPr>
          <w:sz w:val="22"/>
          <w:szCs w:val="22"/>
        </w:rPr>
        <w:t xml:space="preserve"> perform their work. Principal </w:t>
      </w:r>
      <w:r w:rsidR="00F260C3">
        <w:rPr>
          <w:sz w:val="22"/>
          <w:szCs w:val="22"/>
        </w:rPr>
        <w:t>I</w:t>
      </w:r>
      <w:r w:rsidRPr="00972D90">
        <w:rPr>
          <w:sz w:val="22"/>
          <w:szCs w:val="22"/>
        </w:rPr>
        <w:t>nvestigators must enforce the established controls in their</w:t>
      </w:r>
      <w:r>
        <w:rPr>
          <w:sz w:val="22"/>
          <w:szCs w:val="22"/>
        </w:rPr>
        <w:t xml:space="preserve"> </w:t>
      </w:r>
      <w:r w:rsidRPr="00972D90">
        <w:rPr>
          <w:sz w:val="22"/>
          <w:szCs w:val="22"/>
        </w:rPr>
        <w:t>lab.</w:t>
      </w:r>
    </w:p>
    <w:p w14:paraId="757D05FB" w14:textId="569F32C5" w:rsidR="00532D11" w:rsidRPr="00972D90" w:rsidRDefault="00532D11" w:rsidP="000A313A">
      <w:pPr>
        <w:pStyle w:val="ListParagraph"/>
        <w:numPr>
          <w:ilvl w:val="0"/>
          <w:numId w:val="51"/>
        </w:numPr>
        <w:spacing w:after="120"/>
        <w:ind w:left="1080"/>
        <w:rPr>
          <w:sz w:val="22"/>
          <w:szCs w:val="22"/>
        </w:rPr>
      </w:pPr>
      <w:r w:rsidRPr="00972D90">
        <w:rPr>
          <w:sz w:val="22"/>
          <w:szCs w:val="22"/>
        </w:rPr>
        <w:lastRenderedPageBreak/>
        <w:t>PI/lab manager ensures that the personnel, equipment, tools, procedures, and other resources needed to ensure</w:t>
      </w:r>
      <w:r>
        <w:rPr>
          <w:sz w:val="22"/>
          <w:szCs w:val="22"/>
        </w:rPr>
        <w:t xml:space="preserve"> </w:t>
      </w:r>
      <w:r w:rsidRPr="00972D90">
        <w:rPr>
          <w:sz w:val="22"/>
          <w:szCs w:val="22"/>
        </w:rPr>
        <w:t>safety in the academic research laboratory are available.</w:t>
      </w:r>
    </w:p>
    <w:p w14:paraId="585B72BB" w14:textId="66037132" w:rsidR="00532D11" w:rsidRPr="00972D90" w:rsidRDefault="00532D11" w:rsidP="000A313A">
      <w:pPr>
        <w:pStyle w:val="ListParagraph"/>
        <w:numPr>
          <w:ilvl w:val="0"/>
          <w:numId w:val="51"/>
        </w:numPr>
        <w:spacing w:after="120"/>
        <w:ind w:left="1080"/>
        <w:rPr>
          <w:sz w:val="22"/>
          <w:szCs w:val="22"/>
        </w:rPr>
      </w:pPr>
      <w:r w:rsidRPr="00972D90">
        <w:rPr>
          <w:sz w:val="22"/>
          <w:szCs w:val="22"/>
        </w:rPr>
        <w:t>Lab members identify and manage their own safety environment and are receptive and responsive to queries and</w:t>
      </w:r>
      <w:r>
        <w:rPr>
          <w:sz w:val="22"/>
          <w:szCs w:val="22"/>
        </w:rPr>
        <w:t xml:space="preserve"> </w:t>
      </w:r>
      <w:r w:rsidRPr="00972D90">
        <w:rPr>
          <w:sz w:val="22"/>
          <w:szCs w:val="22"/>
        </w:rPr>
        <w:t>suggestions about laboratory safety from their lab colleagues.</w:t>
      </w:r>
    </w:p>
    <w:p w14:paraId="474D5636" w14:textId="4C992C25" w:rsidR="00532D11" w:rsidRPr="00972D90" w:rsidRDefault="00532D11" w:rsidP="000A313A">
      <w:pPr>
        <w:pStyle w:val="ListParagraph"/>
        <w:numPr>
          <w:ilvl w:val="0"/>
          <w:numId w:val="51"/>
        </w:numPr>
        <w:spacing w:after="120"/>
        <w:ind w:left="1080"/>
        <w:rPr>
          <w:sz w:val="22"/>
          <w:szCs w:val="22"/>
        </w:rPr>
      </w:pPr>
      <w:r w:rsidRPr="00972D90">
        <w:rPr>
          <w:sz w:val="22"/>
          <w:szCs w:val="22"/>
        </w:rPr>
        <w:t xml:space="preserve">Lab members conduct their research using protocols and procedures consistent with </w:t>
      </w:r>
      <w:r w:rsidR="00C43930" w:rsidRPr="00972D90">
        <w:rPr>
          <w:sz w:val="22"/>
          <w:szCs w:val="22"/>
        </w:rPr>
        <w:t>the best</w:t>
      </w:r>
      <w:r w:rsidRPr="00972D90">
        <w:rPr>
          <w:sz w:val="22"/>
          <w:szCs w:val="22"/>
        </w:rPr>
        <w:t xml:space="preserve"> safety practices in the lab.</w:t>
      </w:r>
    </w:p>
    <w:p w14:paraId="7CF12D21" w14:textId="38B26E99" w:rsidR="00532D11" w:rsidRPr="00EF30C4" w:rsidRDefault="00532D11" w:rsidP="000A313A">
      <w:pPr>
        <w:pStyle w:val="ListParagraph"/>
        <w:numPr>
          <w:ilvl w:val="0"/>
          <w:numId w:val="48"/>
        </w:numPr>
        <w:spacing w:after="120"/>
        <w:ind w:left="360"/>
        <w:rPr>
          <w:b/>
          <w:bCs/>
          <w:sz w:val="22"/>
          <w:szCs w:val="22"/>
        </w:rPr>
      </w:pPr>
      <w:r w:rsidRPr="00EF30C4">
        <w:rPr>
          <w:b/>
          <w:bCs/>
          <w:sz w:val="22"/>
          <w:szCs w:val="22"/>
        </w:rPr>
        <w:t>Adaptability:</w:t>
      </w:r>
    </w:p>
    <w:p w14:paraId="4B5D512F" w14:textId="6FF1A225" w:rsidR="00532D11" w:rsidRPr="00EF30C4" w:rsidRDefault="00532D11" w:rsidP="00532D11">
      <w:pPr>
        <w:pStyle w:val="ListParagraph"/>
        <w:spacing w:after="120"/>
        <w:ind w:left="360"/>
        <w:rPr>
          <w:sz w:val="22"/>
          <w:szCs w:val="22"/>
        </w:rPr>
      </w:pPr>
      <w:r w:rsidRPr="00EF30C4">
        <w:rPr>
          <w:sz w:val="22"/>
          <w:szCs w:val="22"/>
        </w:rPr>
        <w:t xml:space="preserve">Research is not a static endeavor; managing safety requires ongoing reassessment, </w:t>
      </w:r>
      <w:r w:rsidR="00B267E9" w:rsidRPr="00EF30C4">
        <w:rPr>
          <w:sz w:val="22"/>
          <w:szCs w:val="22"/>
        </w:rPr>
        <w:t>feedback,</w:t>
      </w:r>
      <w:r w:rsidRPr="00EF30C4">
        <w:rPr>
          <w:sz w:val="22"/>
          <w:szCs w:val="22"/>
        </w:rPr>
        <w:t xml:space="preserve"> and reinforcement.</w:t>
      </w:r>
      <w:r>
        <w:rPr>
          <w:sz w:val="22"/>
          <w:szCs w:val="22"/>
        </w:rPr>
        <w:t xml:space="preserve"> </w:t>
      </w:r>
      <w:r w:rsidRPr="00EF30C4">
        <w:rPr>
          <w:sz w:val="22"/>
          <w:szCs w:val="22"/>
        </w:rPr>
        <w:t>Encourage reporting by members when identifying and reviewing lessons learned after and using these as</w:t>
      </w:r>
      <w:r>
        <w:rPr>
          <w:sz w:val="22"/>
          <w:szCs w:val="22"/>
        </w:rPr>
        <w:t xml:space="preserve"> </w:t>
      </w:r>
      <w:r w:rsidRPr="00EF30C4">
        <w:rPr>
          <w:sz w:val="22"/>
          <w:szCs w:val="22"/>
        </w:rPr>
        <w:t>teaching opportunities. Involve all lab incidents and near-misses.</w:t>
      </w:r>
    </w:p>
    <w:p w14:paraId="56005E33" w14:textId="002716E0" w:rsidR="00532D11" w:rsidRPr="00EF30C4" w:rsidRDefault="00532D11" w:rsidP="000A313A">
      <w:pPr>
        <w:pStyle w:val="ListParagraph"/>
        <w:numPr>
          <w:ilvl w:val="0"/>
          <w:numId w:val="52"/>
        </w:numPr>
        <w:spacing w:after="120"/>
        <w:ind w:left="1080"/>
        <w:rPr>
          <w:sz w:val="22"/>
          <w:szCs w:val="22"/>
        </w:rPr>
      </w:pPr>
      <w:r w:rsidRPr="00EF30C4">
        <w:rPr>
          <w:sz w:val="22"/>
          <w:szCs w:val="22"/>
        </w:rPr>
        <w:t>PI/lab manager evaluates the laboratory safety status themselves and knows what and how to manage changes to</w:t>
      </w:r>
      <w:r>
        <w:rPr>
          <w:sz w:val="22"/>
          <w:szCs w:val="22"/>
        </w:rPr>
        <w:t xml:space="preserve"> </w:t>
      </w:r>
      <w:r w:rsidRPr="00EF30C4">
        <w:rPr>
          <w:sz w:val="22"/>
          <w:szCs w:val="22"/>
        </w:rPr>
        <w:t>enhance safety in the laboratory.</w:t>
      </w:r>
    </w:p>
    <w:p w14:paraId="672ABA78" w14:textId="0D04D7D6" w:rsidR="00532D11" w:rsidRDefault="00532D11" w:rsidP="000A313A">
      <w:pPr>
        <w:pStyle w:val="ListParagraph"/>
        <w:numPr>
          <w:ilvl w:val="0"/>
          <w:numId w:val="52"/>
        </w:numPr>
        <w:spacing w:after="120"/>
        <w:ind w:left="1080"/>
        <w:rPr>
          <w:sz w:val="22"/>
          <w:szCs w:val="22"/>
        </w:rPr>
      </w:pPr>
      <w:r w:rsidRPr="00EF30C4">
        <w:rPr>
          <w:sz w:val="22"/>
          <w:szCs w:val="22"/>
        </w:rPr>
        <w:t xml:space="preserve">The PI/lab manager and lab group </w:t>
      </w:r>
      <w:r w:rsidR="00B267E9" w:rsidRPr="00EF30C4">
        <w:rPr>
          <w:sz w:val="22"/>
          <w:szCs w:val="22"/>
        </w:rPr>
        <w:t>support</w:t>
      </w:r>
      <w:r w:rsidRPr="00EF30C4">
        <w:rPr>
          <w:sz w:val="22"/>
          <w:szCs w:val="22"/>
        </w:rPr>
        <w:t xml:space="preserve"> a continuous learning environment in which opportunities to improve</w:t>
      </w:r>
      <w:r>
        <w:rPr>
          <w:sz w:val="22"/>
          <w:szCs w:val="22"/>
        </w:rPr>
        <w:t xml:space="preserve"> </w:t>
      </w:r>
      <w:r w:rsidRPr="00EF30C4">
        <w:rPr>
          <w:sz w:val="22"/>
          <w:szCs w:val="22"/>
        </w:rPr>
        <w:t xml:space="preserve">safety are sought, </w:t>
      </w:r>
      <w:r w:rsidR="00B267E9" w:rsidRPr="00EF30C4">
        <w:rPr>
          <w:sz w:val="22"/>
          <w:szCs w:val="22"/>
        </w:rPr>
        <w:t>communicated,</w:t>
      </w:r>
      <w:r w:rsidRPr="00EF30C4">
        <w:rPr>
          <w:sz w:val="22"/>
          <w:szCs w:val="22"/>
        </w:rPr>
        <w:t xml:space="preserve"> and implemented.</w:t>
      </w:r>
    </w:p>
    <w:p w14:paraId="6D4075AB" w14:textId="54631FE9" w:rsidR="00532D11" w:rsidRPr="003452EB" w:rsidRDefault="00532D11" w:rsidP="000A313A">
      <w:pPr>
        <w:pStyle w:val="ListParagraph"/>
        <w:numPr>
          <w:ilvl w:val="0"/>
          <w:numId w:val="52"/>
        </w:numPr>
        <w:spacing w:after="120"/>
        <w:ind w:left="1080"/>
        <w:rPr>
          <w:sz w:val="22"/>
          <w:szCs w:val="22"/>
        </w:rPr>
      </w:pPr>
      <w:r w:rsidRPr="003452EB">
        <w:rPr>
          <w:sz w:val="22"/>
          <w:szCs w:val="22"/>
        </w:rPr>
        <w:t>Safety discussions become part of regular lab meetings; near misses within the lab are reported in a timely manner and safety information is requested by lab members to prevent future mishaps through understanding HOW and WHY.</w:t>
      </w:r>
    </w:p>
    <w:p w14:paraId="5CEF066C" w14:textId="2D0A4EFF" w:rsidR="00532D11" w:rsidRDefault="00532D11" w:rsidP="00532D11">
      <w:pPr>
        <w:spacing w:after="120"/>
        <w:rPr>
          <w:sz w:val="22"/>
          <w:szCs w:val="22"/>
        </w:rPr>
      </w:pPr>
    </w:p>
    <w:p w14:paraId="58D64D40" w14:textId="6D103744" w:rsidR="00532D11" w:rsidRPr="003452EB" w:rsidRDefault="00532D11" w:rsidP="00532D11">
      <w:pPr>
        <w:spacing w:after="120"/>
        <w:rPr>
          <w:b/>
          <w:bCs/>
          <w:u w:val="single"/>
        </w:rPr>
      </w:pPr>
      <w:bookmarkStart w:id="6" w:name="RiskAssessment"/>
      <w:r w:rsidRPr="003452EB">
        <w:rPr>
          <w:b/>
          <w:bCs/>
          <w:u w:val="single"/>
        </w:rPr>
        <w:t xml:space="preserve">Risk Assessment </w:t>
      </w:r>
    </w:p>
    <w:bookmarkEnd w:id="6"/>
    <w:p w14:paraId="67938CCE" w14:textId="754456C8" w:rsidR="00AC3A48" w:rsidRPr="003452EB" w:rsidRDefault="00532D11" w:rsidP="00532D11">
      <w:pPr>
        <w:spacing w:after="120"/>
        <w:rPr>
          <w:sz w:val="22"/>
          <w:szCs w:val="22"/>
        </w:rPr>
      </w:pPr>
      <w:r w:rsidRPr="003452EB">
        <w:rPr>
          <w:sz w:val="22"/>
          <w:szCs w:val="22"/>
        </w:rPr>
        <w:t>Evaluation and assessment of risk is a key part of designing and conducting an experimental protocol. Not only does a</w:t>
      </w:r>
      <w:r>
        <w:rPr>
          <w:sz w:val="22"/>
          <w:szCs w:val="22"/>
        </w:rPr>
        <w:t xml:space="preserve"> </w:t>
      </w:r>
      <w:r w:rsidRPr="003452EB">
        <w:rPr>
          <w:sz w:val="22"/>
          <w:szCs w:val="22"/>
        </w:rPr>
        <w:t>thorough risk assessment allow researchers to systematically identify and control hazards, but it also improves the</w:t>
      </w:r>
      <w:r>
        <w:rPr>
          <w:sz w:val="22"/>
          <w:szCs w:val="22"/>
        </w:rPr>
        <w:t xml:space="preserve"> </w:t>
      </w:r>
      <w:r w:rsidRPr="003452EB">
        <w:rPr>
          <w:sz w:val="22"/>
          <w:szCs w:val="22"/>
        </w:rPr>
        <w:t>quality of science through more thorough planning, a better understanding of the variables, and by sparking creative</w:t>
      </w:r>
      <w:r>
        <w:rPr>
          <w:sz w:val="22"/>
          <w:szCs w:val="22"/>
        </w:rPr>
        <w:t xml:space="preserve"> </w:t>
      </w:r>
      <w:r w:rsidRPr="003452EB">
        <w:rPr>
          <w:sz w:val="22"/>
          <w:szCs w:val="22"/>
        </w:rPr>
        <w:t>and innovative thinking. It allows one to implement tighter controls which reduce uncertainty and increase the safety</w:t>
      </w:r>
      <w:r>
        <w:rPr>
          <w:sz w:val="22"/>
          <w:szCs w:val="22"/>
        </w:rPr>
        <w:t xml:space="preserve"> </w:t>
      </w:r>
      <w:r w:rsidRPr="003452EB">
        <w:rPr>
          <w:sz w:val="22"/>
          <w:szCs w:val="22"/>
        </w:rPr>
        <w:t xml:space="preserve">and quality </w:t>
      </w:r>
      <w:r w:rsidR="007A4D3C" w:rsidRPr="003452EB">
        <w:rPr>
          <w:sz w:val="22"/>
          <w:szCs w:val="22"/>
        </w:rPr>
        <w:t>of results</w:t>
      </w:r>
      <w:r w:rsidRPr="003452EB">
        <w:rPr>
          <w:sz w:val="22"/>
          <w:szCs w:val="22"/>
        </w:rPr>
        <w:t>/</w:t>
      </w:r>
      <w:r w:rsidR="00353560" w:rsidRPr="003452EB">
        <w:rPr>
          <w:sz w:val="22"/>
          <w:szCs w:val="22"/>
        </w:rPr>
        <w:t>products</w:t>
      </w:r>
      <w:r w:rsidRPr="003452EB">
        <w:rPr>
          <w:sz w:val="22"/>
          <w:szCs w:val="22"/>
        </w:rPr>
        <w:t>. Failure to consider risk and hazards from the beginning of experimental design can</w:t>
      </w:r>
      <w:r>
        <w:rPr>
          <w:sz w:val="22"/>
          <w:szCs w:val="22"/>
        </w:rPr>
        <w:t xml:space="preserve"> </w:t>
      </w:r>
      <w:r w:rsidRPr="003452EB">
        <w:rPr>
          <w:sz w:val="22"/>
          <w:szCs w:val="22"/>
        </w:rPr>
        <w:t>produce delays, roadblocks, and frustration later in the process.</w:t>
      </w:r>
    </w:p>
    <w:p w14:paraId="3446416E" w14:textId="27CD3CF8" w:rsidR="00532D11" w:rsidRDefault="00532D11" w:rsidP="00532D11">
      <w:pPr>
        <w:spacing w:after="120"/>
        <w:rPr>
          <w:sz w:val="22"/>
          <w:szCs w:val="22"/>
        </w:rPr>
      </w:pPr>
      <w:r w:rsidRPr="003452EB">
        <w:rPr>
          <w:sz w:val="22"/>
          <w:szCs w:val="22"/>
        </w:rPr>
        <w:t>The Risk Assessment process is broken down into four steps and helps to spark creative and innovative thinking.</w:t>
      </w:r>
    </w:p>
    <w:p w14:paraId="33E47528" w14:textId="32E329EB" w:rsidR="00AC3A48" w:rsidRDefault="00AC3A48" w:rsidP="00532D11">
      <w:pPr>
        <w:spacing w:after="120"/>
        <w:rPr>
          <w:sz w:val="22"/>
          <w:szCs w:val="22"/>
        </w:rPr>
      </w:pPr>
      <w:r w:rsidRPr="00AC3A48">
        <w:rPr>
          <w:noProof/>
          <w:sz w:val="22"/>
          <w:szCs w:val="22"/>
        </w:rPr>
        <w:drawing>
          <wp:inline distT="0" distB="0" distL="0" distR="0" wp14:anchorId="4FCBE5BA" wp14:editId="5B02D18A">
            <wp:extent cx="5943600" cy="1720850"/>
            <wp:effectExtent l="0" t="0" r="0" b="0"/>
            <wp:docPr id="1652149034" name="Picture 1" descr="A diagram of a plan and challe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49034" name="Picture 1" descr="A diagram of a plan and challenge&#10;&#10;Description automatically generated"/>
                    <pic:cNvPicPr/>
                  </pic:nvPicPr>
                  <pic:blipFill>
                    <a:blip r:embed="rId16"/>
                    <a:stretch>
                      <a:fillRect/>
                    </a:stretch>
                  </pic:blipFill>
                  <pic:spPr>
                    <a:xfrm>
                      <a:off x="0" y="0"/>
                      <a:ext cx="5943600" cy="1720850"/>
                    </a:xfrm>
                    <a:prstGeom prst="rect">
                      <a:avLst/>
                    </a:prstGeom>
                  </pic:spPr>
                </pic:pic>
              </a:graphicData>
            </a:graphic>
          </wp:inline>
        </w:drawing>
      </w:r>
    </w:p>
    <w:p w14:paraId="3538EF6F" w14:textId="162D6EC1" w:rsidR="00532D11" w:rsidRDefault="00532D11" w:rsidP="000A313A">
      <w:pPr>
        <w:pStyle w:val="ListParagraph"/>
        <w:numPr>
          <w:ilvl w:val="0"/>
          <w:numId w:val="53"/>
        </w:numPr>
        <w:spacing w:after="120"/>
        <w:rPr>
          <w:b/>
          <w:bCs/>
          <w:sz w:val="22"/>
          <w:szCs w:val="22"/>
        </w:rPr>
      </w:pPr>
      <w:r w:rsidRPr="003452EB">
        <w:rPr>
          <w:b/>
          <w:bCs/>
          <w:sz w:val="22"/>
          <w:szCs w:val="22"/>
        </w:rPr>
        <w:lastRenderedPageBreak/>
        <w:t>Explore:</w:t>
      </w:r>
    </w:p>
    <w:p w14:paraId="644641E6" w14:textId="455AE5F2" w:rsidR="00532D11" w:rsidRPr="00623E74" w:rsidRDefault="00532D11" w:rsidP="00532D11">
      <w:pPr>
        <w:pStyle w:val="ListParagraph"/>
        <w:spacing w:after="120"/>
        <w:ind w:left="360"/>
        <w:rPr>
          <w:b/>
          <w:bCs/>
          <w:sz w:val="22"/>
          <w:szCs w:val="22"/>
        </w:rPr>
      </w:pPr>
      <w:r w:rsidRPr="00623E74">
        <w:rPr>
          <w:sz w:val="22"/>
          <w:szCs w:val="22"/>
        </w:rPr>
        <w:t>Determine the scope of work, beginning with research objective. What question(s) are trying to</w:t>
      </w:r>
      <w:r w:rsidR="00463F19">
        <w:rPr>
          <w:sz w:val="22"/>
          <w:szCs w:val="22"/>
        </w:rPr>
        <w:t xml:space="preserve"> be</w:t>
      </w:r>
      <w:r w:rsidRPr="00623E74">
        <w:rPr>
          <w:sz w:val="22"/>
          <w:szCs w:val="22"/>
        </w:rPr>
        <w:t xml:space="preserve"> answer</w:t>
      </w:r>
      <w:r w:rsidR="00463F19">
        <w:rPr>
          <w:sz w:val="22"/>
          <w:szCs w:val="22"/>
        </w:rPr>
        <w:t>ed</w:t>
      </w:r>
      <w:r w:rsidRPr="00623E74">
        <w:rPr>
          <w:sz w:val="22"/>
          <w:szCs w:val="22"/>
        </w:rPr>
        <w:t>? Conduct a broad review of the literature. Speak with others who have done similar work. Are the risks different for different approaches?</w:t>
      </w:r>
    </w:p>
    <w:p w14:paraId="765B06D1" w14:textId="77777777" w:rsidR="00532D11" w:rsidRPr="00623E74" w:rsidRDefault="00532D11" w:rsidP="000A313A">
      <w:pPr>
        <w:pStyle w:val="ListParagraph"/>
        <w:numPr>
          <w:ilvl w:val="0"/>
          <w:numId w:val="53"/>
        </w:numPr>
        <w:spacing w:after="120"/>
        <w:rPr>
          <w:sz w:val="22"/>
          <w:szCs w:val="22"/>
        </w:rPr>
      </w:pPr>
      <w:r w:rsidRPr="00623E74">
        <w:rPr>
          <w:b/>
          <w:bCs/>
          <w:sz w:val="22"/>
          <w:szCs w:val="22"/>
        </w:rPr>
        <w:t xml:space="preserve">Plan: </w:t>
      </w:r>
    </w:p>
    <w:p w14:paraId="1D218035" w14:textId="065162D8" w:rsidR="00532D11" w:rsidRPr="00623E74" w:rsidRDefault="00532D11" w:rsidP="00532D11">
      <w:pPr>
        <w:pStyle w:val="ListParagraph"/>
        <w:spacing w:after="120"/>
        <w:ind w:left="360"/>
        <w:rPr>
          <w:sz w:val="22"/>
          <w:szCs w:val="22"/>
        </w:rPr>
      </w:pPr>
      <w:r w:rsidRPr="00623E74">
        <w:rPr>
          <w:sz w:val="22"/>
          <w:szCs w:val="22"/>
        </w:rPr>
        <w:t xml:space="preserve">Outline </w:t>
      </w:r>
      <w:r w:rsidR="00463F19">
        <w:rPr>
          <w:sz w:val="22"/>
          <w:szCs w:val="22"/>
        </w:rPr>
        <w:t>the</w:t>
      </w:r>
      <w:r w:rsidRPr="00623E74">
        <w:rPr>
          <w:sz w:val="22"/>
          <w:szCs w:val="22"/>
        </w:rPr>
        <w:t xml:space="preserve"> procedure/tasks. This may include a deeper dive into specific topics in </w:t>
      </w:r>
      <w:r w:rsidR="00C43930" w:rsidRPr="00623E74">
        <w:rPr>
          <w:sz w:val="22"/>
          <w:szCs w:val="22"/>
        </w:rPr>
        <w:t>literature</w:t>
      </w:r>
      <w:r w:rsidRPr="00623E74">
        <w:rPr>
          <w:sz w:val="22"/>
          <w:szCs w:val="22"/>
        </w:rPr>
        <w:t xml:space="preserve">. Determine hazards associated with each step, and control measures for reducing risk. </w:t>
      </w:r>
      <w:r w:rsidR="00463F19">
        <w:rPr>
          <w:sz w:val="22"/>
          <w:szCs w:val="22"/>
        </w:rPr>
        <w:t>The Office of Safety</w:t>
      </w:r>
      <w:r w:rsidRPr="00623E74">
        <w:rPr>
          <w:sz w:val="22"/>
          <w:szCs w:val="22"/>
        </w:rPr>
        <w:t xml:space="preserve"> can help with more detailed guidance on how to </w:t>
      </w:r>
      <w:r w:rsidR="00B267E9" w:rsidRPr="00623E74">
        <w:rPr>
          <w:sz w:val="22"/>
          <w:szCs w:val="22"/>
        </w:rPr>
        <w:t>manage</w:t>
      </w:r>
      <w:r w:rsidRPr="00623E74">
        <w:rPr>
          <w:sz w:val="22"/>
          <w:szCs w:val="22"/>
        </w:rPr>
        <w:t xml:space="preserve"> certain hazards.</w:t>
      </w:r>
    </w:p>
    <w:p w14:paraId="29402388" w14:textId="77777777" w:rsidR="00532D11" w:rsidRPr="00623E74" w:rsidRDefault="00532D11" w:rsidP="000A313A">
      <w:pPr>
        <w:pStyle w:val="ListParagraph"/>
        <w:numPr>
          <w:ilvl w:val="0"/>
          <w:numId w:val="53"/>
        </w:numPr>
        <w:spacing w:after="120"/>
        <w:rPr>
          <w:sz w:val="22"/>
          <w:szCs w:val="22"/>
        </w:rPr>
      </w:pPr>
      <w:r w:rsidRPr="00623E74">
        <w:rPr>
          <w:b/>
          <w:bCs/>
          <w:sz w:val="22"/>
          <w:szCs w:val="22"/>
        </w:rPr>
        <w:t xml:space="preserve">Challenge: </w:t>
      </w:r>
    </w:p>
    <w:p w14:paraId="1C9FEDAD" w14:textId="5546A8B2" w:rsidR="00532D11" w:rsidRPr="00623E74" w:rsidRDefault="00532D11" w:rsidP="00532D11">
      <w:pPr>
        <w:pStyle w:val="ListParagraph"/>
        <w:spacing w:after="120"/>
        <w:ind w:left="360"/>
        <w:rPr>
          <w:sz w:val="22"/>
          <w:szCs w:val="22"/>
        </w:rPr>
      </w:pPr>
      <w:r w:rsidRPr="00623E74">
        <w:rPr>
          <w:sz w:val="22"/>
          <w:szCs w:val="22"/>
        </w:rPr>
        <w:t xml:space="preserve">What assumptions did </w:t>
      </w:r>
      <w:r w:rsidR="00463F19">
        <w:rPr>
          <w:sz w:val="22"/>
          <w:szCs w:val="22"/>
        </w:rPr>
        <w:t>have been applied</w:t>
      </w:r>
      <w:r w:rsidRPr="00623E74">
        <w:rPr>
          <w:sz w:val="22"/>
          <w:szCs w:val="22"/>
        </w:rPr>
        <w:t xml:space="preserve">? Question the importance of each step. Seek advice from others. Ask “what could go </w:t>
      </w:r>
      <w:r w:rsidR="00B267E9" w:rsidRPr="00623E74">
        <w:rPr>
          <w:sz w:val="22"/>
          <w:szCs w:val="22"/>
        </w:rPr>
        <w:t>wrong?”</w:t>
      </w:r>
      <w:r w:rsidRPr="00623E74">
        <w:rPr>
          <w:sz w:val="22"/>
          <w:szCs w:val="22"/>
        </w:rPr>
        <w:t xml:space="preserve"> Ha</w:t>
      </w:r>
      <w:r w:rsidR="00304568">
        <w:rPr>
          <w:sz w:val="22"/>
          <w:szCs w:val="22"/>
        </w:rPr>
        <w:t>s anything been</w:t>
      </w:r>
      <w:r w:rsidRPr="00623E74">
        <w:rPr>
          <w:sz w:val="22"/>
          <w:szCs w:val="22"/>
        </w:rPr>
        <w:t xml:space="preserve"> missed? Consider all possible outcomes, how high is the risk?</w:t>
      </w:r>
    </w:p>
    <w:p w14:paraId="3E6DD473" w14:textId="77777777" w:rsidR="00532D11" w:rsidRPr="00623E74" w:rsidRDefault="00532D11" w:rsidP="000A313A">
      <w:pPr>
        <w:pStyle w:val="ListParagraph"/>
        <w:numPr>
          <w:ilvl w:val="0"/>
          <w:numId w:val="53"/>
        </w:numPr>
        <w:spacing w:after="120"/>
        <w:rPr>
          <w:sz w:val="22"/>
          <w:szCs w:val="22"/>
        </w:rPr>
      </w:pPr>
      <w:r w:rsidRPr="00623E74">
        <w:rPr>
          <w:b/>
          <w:bCs/>
          <w:sz w:val="22"/>
          <w:szCs w:val="22"/>
        </w:rPr>
        <w:t xml:space="preserve">Assess: </w:t>
      </w:r>
    </w:p>
    <w:p w14:paraId="167C0803" w14:textId="78CFF917" w:rsidR="00532D11" w:rsidRDefault="00532D11" w:rsidP="00532D11">
      <w:pPr>
        <w:pStyle w:val="ListParagraph"/>
        <w:spacing w:after="120"/>
        <w:ind w:left="360"/>
        <w:rPr>
          <w:sz w:val="22"/>
          <w:szCs w:val="22"/>
        </w:rPr>
      </w:pPr>
      <w:r w:rsidRPr="00623E74">
        <w:rPr>
          <w:sz w:val="22"/>
          <w:szCs w:val="22"/>
        </w:rPr>
        <w:t xml:space="preserve">Implement a model, prototype, or trial run. </w:t>
      </w:r>
      <w:r w:rsidR="00304568">
        <w:rPr>
          <w:sz w:val="22"/>
          <w:szCs w:val="22"/>
        </w:rPr>
        <w:t>Is it possible to</w:t>
      </w:r>
      <w:r w:rsidRPr="00623E74">
        <w:rPr>
          <w:sz w:val="22"/>
          <w:szCs w:val="22"/>
        </w:rPr>
        <w:t xml:space="preserve"> perform a dry run to familiarize </w:t>
      </w:r>
      <w:r w:rsidR="00304568">
        <w:rPr>
          <w:sz w:val="22"/>
          <w:szCs w:val="22"/>
        </w:rPr>
        <w:t>staff</w:t>
      </w:r>
      <w:r w:rsidRPr="00623E74">
        <w:rPr>
          <w:sz w:val="22"/>
          <w:szCs w:val="22"/>
        </w:rPr>
        <w:t xml:space="preserve"> with equipment and procedures? </w:t>
      </w:r>
      <w:r w:rsidR="00304568">
        <w:rPr>
          <w:sz w:val="22"/>
          <w:szCs w:val="22"/>
        </w:rPr>
        <w:t>Is it possible to</w:t>
      </w:r>
      <w:r w:rsidRPr="00623E74">
        <w:rPr>
          <w:sz w:val="22"/>
          <w:szCs w:val="22"/>
        </w:rPr>
        <w:t xml:space="preserve"> </w:t>
      </w:r>
      <w:r w:rsidR="00B267E9" w:rsidRPr="00623E74">
        <w:rPr>
          <w:sz w:val="22"/>
          <w:szCs w:val="22"/>
        </w:rPr>
        <w:t>evaluate</w:t>
      </w:r>
      <w:r w:rsidRPr="00623E74">
        <w:rPr>
          <w:sz w:val="22"/>
          <w:szCs w:val="22"/>
        </w:rPr>
        <w:t xml:space="preserve"> </w:t>
      </w:r>
      <w:r w:rsidR="00304568">
        <w:rPr>
          <w:sz w:val="22"/>
          <w:szCs w:val="22"/>
        </w:rPr>
        <w:t>the</w:t>
      </w:r>
      <w:r w:rsidRPr="00623E74">
        <w:rPr>
          <w:sz w:val="22"/>
          <w:szCs w:val="22"/>
        </w:rPr>
        <w:t xml:space="preserve"> experimental design </w:t>
      </w:r>
      <w:r w:rsidR="00D76648" w:rsidRPr="00623E74">
        <w:rPr>
          <w:sz w:val="22"/>
          <w:szCs w:val="22"/>
        </w:rPr>
        <w:t>on</w:t>
      </w:r>
      <w:r w:rsidRPr="00623E74">
        <w:rPr>
          <w:sz w:val="22"/>
          <w:szCs w:val="22"/>
        </w:rPr>
        <w:t xml:space="preserve"> a smaller scale or with a less hazardous material? Determine if any design changes are needed. Run </w:t>
      </w:r>
      <w:r w:rsidR="00304568">
        <w:rPr>
          <w:sz w:val="22"/>
          <w:szCs w:val="22"/>
        </w:rPr>
        <w:t>the</w:t>
      </w:r>
      <w:r w:rsidRPr="00623E74">
        <w:rPr>
          <w:sz w:val="22"/>
          <w:szCs w:val="22"/>
        </w:rPr>
        <w:t xml:space="preserve"> experiment and monitor how controls perform. Assess </w:t>
      </w:r>
      <w:r w:rsidR="00304568">
        <w:rPr>
          <w:sz w:val="22"/>
          <w:szCs w:val="22"/>
        </w:rPr>
        <w:t>along the way</w:t>
      </w:r>
      <w:r w:rsidRPr="00623E74">
        <w:rPr>
          <w:sz w:val="22"/>
          <w:szCs w:val="22"/>
        </w:rPr>
        <w:t xml:space="preserve"> and make changes as </w:t>
      </w:r>
      <w:r w:rsidR="00D76648">
        <w:rPr>
          <w:sz w:val="22"/>
          <w:szCs w:val="22"/>
        </w:rPr>
        <w:t>appropriate</w:t>
      </w:r>
      <w:r w:rsidRPr="00623E74">
        <w:rPr>
          <w:sz w:val="22"/>
          <w:szCs w:val="22"/>
        </w:rPr>
        <w:t>.</w:t>
      </w:r>
    </w:p>
    <w:p w14:paraId="3A7E244A" w14:textId="77777777" w:rsidR="00F612AB" w:rsidRDefault="00F612AB" w:rsidP="00532D11">
      <w:pPr>
        <w:spacing w:after="120"/>
        <w:rPr>
          <w:sz w:val="22"/>
          <w:szCs w:val="22"/>
        </w:rPr>
      </w:pPr>
    </w:p>
    <w:p w14:paraId="146D1BA0" w14:textId="77777777" w:rsidR="00532D11" w:rsidRPr="003A7098" w:rsidRDefault="00532D11" w:rsidP="00532D11">
      <w:pPr>
        <w:spacing w:after="120"/>
        <w:rPr>
          <w:b/>
          <w:bCs/>
          <w:u w:val="single"/>
        </w:rPr>
      </w:pPr>
      <w:bookmarkStart w:id="7" w:name="SafetyCultureandBiosafety"/>
      <w:r w:rsidRPr="003A7098">
        <w:rPr>
          <w:b/>
          <w:bCs/>
          <w:u w:val="single"/>
        </w:rPr>
        <w:t>Safety Culture and Biosafety</w:t>
      </w:r>
    </w:p>
    <w:bookmarkEnd w:id="7"/>
    <w:p w14:paraId="38C98C09" w14:textId="77777777" w:rsidR="00532D11" w:rsidRPr="003A7098" w:rsidRDefault="00532D11" w:rsidP="00532D11">
      <w:pPr>
        <w:spacing w:after="120"/>
        <w:rPr>
          <w:sz w:val="22"/>
          <w:szCs w:val="22"/>
        </w:rPr>
      </w:pPr>
      <w:r w:rsidRPr="003A7098">
        <w:rPr>
          <w:sz w:val="22"/>
          <w:szCs w:val="22"/>
        </w:rPr>
        <w:t>What is special or unique about Safety Culture for researchers working with biological agents or rDNA? All of the above</w:t>
      </w:r>
      <w:r>
        <w:rPr>
          <w:sz w:val="22"/>
          <w:szCs w:val="22"/>
        </w:rPr>
        <w:t xml:space="preserve"> </w:t>
      </w:r>
      <w:r w:rsidRPr="003A7098">
        <w:rPr>
          <w:sz w:val="22"/>
          <w:szCs w:val="22"/>
        </w:rPr>
        <w:t>attributes form the basis for safe research but just like any science specialty, there are unique issues that must be</w:t>
      </w:r>
      <w:r>
        <w:rPr>
          <w:sz w:val="22"/>
          <w:szCs w:val="22"/>
        </w:rPr>
        <w:t xml:space="preserve"> </w:t>
      </w:r>
      <w:r w:rsidRPr="003A7098">
        <w:rPr>
          <w:sz w:val="22"/>
          <w:szCs w:val="22"/>
        </w:rPr>
        <w:t>considered when working with these materials, including:</w:t>
      </w:r>
    </w:p>
    <w:p w14:paraId="270E16FA" w14:textId="77777777" w:rsidR="00532D11" w:rsidRPr="003A7098" w:rsidRDefault="00532D11" w:rsidP="000A313A">
      <w:pPr>
        <w:pStyle w:val="ListParagraph"/>
        <w:numPr>
          <w:ilvl w:val="0"/>
          <w:numId w:val="53"/>
        </w:numPr>
        <w:spacing w:after="120"/>
        <w:rPr>
          <w:sz w:val="22"/>
          <w:szCs w:val="22"/>
        </w:rPr>
      </w:pPr>
      <w:r w:rsidRPr="003A7098">
        <w:rPr>
          <w:sz w:val="22"/>
          <w:szCs w:val="22"/>
        </w:rPr>
        <w:t>They can be alive and as such, can grow, replicate and sometimes, move.</w:t>
      </w:r>
    </w:p>
    <w:p w14:paraId="62944943" w14:textId="77777777" w:rsidR="00532D11" w:rsidRPr="003A7098" w:rsidRDefault="00532D11" w:rsidP="000A313A">
      <w:pPr>
        <w:pStyle w:val="ListParagraph"/>
        <w:numPr>
          <w:ilvl w:val="0"/>
          <w:numId w:val="53"/>
        </w:numPr>
        <w:spacing w:after="120"/>
        <w:rPr>
          <w:sz w:val="22"/>
          <w:szCs w:val="22"/>
        </w:rPr>
      </w:pPr>
      <w:r w:rsidRPr="003A7098">
        <w:rPr>
          <w:sz w:val="22"/>
          <w:szCs w:val="22"/>
        </w:rPr>
        <w:t>Their effects on the researcher can be influenced by the health of the researcher.</w:t>
      </w:r>
    </w:p>
    <w:p w14:paraId="6DCB8460" w14:textId="77777777" w:rsidR="00532D11" w:rsidRPr="003A7098" w:rsidRDefault="00532D11" w:rsidP="000A313A">
      <w:pPr>
        <w:pStyle w:val="ListParagraph"/>
        <w:numPr>
          <w:ilvl w:val="0"/>
          <w:numId w:val="53"/>
        </w:numPr>
        <w:spacing w:after="120"/>
        <w:rPr>
          <w:sz w:val="22"/>
          <w:szCs w:val="22"/>
        </w:rPr>
      </w:pPr>
      <w:r w:rsidRPr="003A7098">
        <w:rPr>
          <w:sz w:val="22"/>
          <w:szCs w:val="22"/>
        </w:rPr>
        <w:t>They can spread through numerous mechanisms (droplet, aerosol, mucosal, oral, fecal, blood borne).</w:t>
      </w:r>
    </w:p>
    <w:p w14:paraId="33A24C70" w14:textId="77777777" w:rsidR="00532D11" w:rsidRPr="003A7098" w:rsidRDefault="00532D11" w:rsidP="000A313A">
      <w:pPr>
        <w:pStyle w:val="ListParagraph"/>
        <w:numPr>
          <w:ilvl w:val="0"/>
          <w:numId w:val="53"/>
        </w:numPr>
        <w:spacing w:after="120"/>
        <w:rPr>
          <w:sz w:val="22"/>
          <w:szCs w:val="22"/>
        </w:rPr>
      </w:pPr>
      <w:r w:rsidRPr="003A7098">
        <w:rPr>
          <w:sz w:val="22"/>
          <w:szCs w:val="22"/>
        </w:rPr>
        <w:t>They can insert themselves into a genome and have long term effects.</w:t>
      </w:r>
    </w:p>
    <w:p w14:paraId="745B3E60" w14:textId="5AAA252F" w:rsidR="00532D11" w:rsidRDefault="00532D11" w:rsidP="00532D11">
      <w:pPr>
        <w:spacing w:after="120"/>
        <w:rPr>
          <w:noProof/>
          <w:sz w:val="22"/>
          <w:szCs w:val="22"/>
        </w:rPr>
      </w:pPr>
      <w:r w:rsidRPr="003A7098">
        <w:rPr>
          <w:sz w:val="22"/>
          <w:szCs w:val="22"/>
        </w:rPr>
        <w:t xml:space="preserve">The </w:t>
      </w:r>
      <w:r>
        <w:rPr>
          <w:sz w:val="22"/>
          <w:szCs w:val="22"/>
        </w:rPr>
        <w:t xml:space="preserve">following </w:t>
      </w:r>
      <w:r w:rsidRPr="003A7098">
        <w:rPr>
          <w:sz w:val="22"/>
          <w:szCs w:val="22"/>
        </w:rPr>
        <w:t xml:space="preserve">diagram illustrates some of the many factors that must be </w:t>
      </w:r>
      <w:r w:rsidR="00DE030D" w:rsidRPr="003A7098">
        <w:rPr>
          <w:sz w:val="22"/>
          <w:szCs w:val="22"/>
        </w:rPr>
        <w:t>considered</w:t>
      </w:r>
      <w:r w:rsidRPr="003A7098">
        <w:rPr>
          <w:sz w:val="22"/>
          <w:szCs w:val="22"/>
        </w:rPr>
        <w:t xml:space="preserve"> when planning to</w:t>
      </w:r>
      <w:r>
        <w:rPr>
          <w:sz w:val="22"/>
          <w:szCs w:val="22"/>
        </w:rPr>
        <w:t xml:space="preserve"> </w:t>
      </w:r>
      <w:r w:rsidRPr="003A7098">
        <w:rPr>
          <w:sz w:val="22"/>
          <w:szCs w:val="22"/>
        </w:rPr>
        <w:t>work with biological</w:t>
      </w:r>
      <w:r w:rsidR="00353560">
        <w:rPr>
          <w:sz w:val="22"/>
          <w:szCs w:val="22"/>
        </w:rPr>
        <w:t xml:space="preserve"> agent</w:t>
      </w:r>
      <w:r w:rsidRPr="003A7098">
        <w:rPr>
          <w:sz w:val="22"/>
          <w:szCs w:val="22"/>
        </w:rPr>
        <w:t>s and/or rDNA; many of these issues will be discussed in this manual.</w:t>
      </w:r>
      <w:r w:rsidRPr="003A7098">
        <w:rPr>
          <w:noProof/>
          <w:sz w:val="22"/>
          <w:szCs w:val="22"/>
        </w:rPr>
        <w:t xml:space="preserve"> </w:t>
      </w:r>
    </w:p>
    <w:p w14:paraId="2781DBDD" w14:textId="77777777" w:rsidR="00AD1142" w:rsidRDefault="00AD1142" w:rsidP="00532D11">
      <w:pPr>
        <w:spacing w:after="120"/>
        <w:rPr>
          <w:noProof/>
          <w:sz w:val="22"/>
          <w:szCs w:val="22"/>
        </w:rPr>
      </w:pPr>
    </w:p>
    <w:p w14:paraId="15A8EEC4" w14:textId="77777777" w:rsidR="00AD1142" w:rsidRDefault="00AD1142" w:rsidP="00532D11">
      <w:pPr>
        <w:spacing w:after="120"/>
        <w:rPr>
          <w:noProof/>
          <w:sz w:val="22"/>
          <w:szCs w:val="22"/>
        </w:rPr>
      </w:pPr>
    </w:p>
    <w:p w14:paraId="05853517" w14:textId="77777777" w:rsidR="00AD1142" w:rsidRDefault="00AD1142" w:rsidP="00532D11">
      <w:pPr>
        <w:spacing w:after="120"/>
        <w:rPr>
          <w:noProof/>
          <w:sz w:val="22"/>
          <w:szCs w:val="22"/>
        </w:rPr>
      </w:pPr>
    </w:p>
    <w:p w14:paraId="0F877C50" w14:textId="77777777" w:rsidR="00AD1142" w:rsidRDefault="00AD1142" w:rsidP="00532D11">
      <w:pPr>
        <w:spacing w:after="120"/>
        <w:rPr>
          <w:noProof/>
          <w:sz w:val="22"/>
          <w:szCs w:val="22"/>
        </w:rPr>
      </w:pPr>
    </w:p>
    <w:p w14:paraId="57AA5CE0" w14:textId="77777777" w:rsidR="00AD1142" w:rsidRDefault="00AD1142" w:rsidP="00532D11">
      <w:pPr>
        <w:spacing w:after="120"/>
        <w:rPr>
          <w:noProof/>
          <w:sz w:val="22"/>
          <w:szCs w:val="22"/>
        </w:rPr>
      </w:pPr>
    </w:p>
    <w:p w14:paraId="1E795F88" w14:textId="77777777" w:rsidR="00AD1142" w:rsidRDefault="00AD1142" w:rsidP="00532D11">
      <w:pPr>
        <w:spacing w:after="120"/>
        <w:rPr>
          <w:noProof/>
          <w:sz w:val="22"/>
          <w:szCs w:val="22"/>
        </w:rPr>
      </w:pPr>
    </w:p>
    <w:p w14:paraId="4CE9591D" w14:textId="77777777" w:rsidR="00AD1142" w:rsidRDefault="00AD1142" w:rsidP="00532D11">
      <w:pPr>
        <w:spacing w:after="120"/>
        <w:rPr>
          <w:noProof/>
          <w:sz w:val="22"/>
          <w:szCs w:val="22"/>
        </w:rPr>
      </w:pPr>
    </w:p>
    <w:p w14:paraId="0D3110E1" w14:textId="77777777" w:rsidR="00AD1142" w:rsidRDefault="00AD1142" w:rsidP="00532D11">
      <w:pPr>
        <w:spacing w:after="120"/>
        <w:rPr>
          <w:noProof/>
          <w:sz w:val="22"/>
          <w:szCs w:val="22"/>
        </w:rPr>
      </w:pPr>
    </w:p>
    <w:p w14:paraId="531099F3" w14:textId="77777777" w:rsidR="00877C92" w:rsidRDefault="00877C92" w:rsidP="00532D11">
      <w:pPr>
        <w:spacing w:after="120"/>
        <w:rPr>
          <w:noProof/>
          <w:sz w:val="22"/>
          <w:szCs w:val="22"/>
        </w:rPr>
      </w:pPr>
    </w:p>
    <w:p w14:paraId="655CE54D" w14:textId="77777777" w:rsidR="00AD1142" w:rsidRDefault="00AD1142" w:rsidP="00532D11">
      <w:pPr>
        <w:spacing w:after="120"/>
        <w:rPr>
          <w:sz w:val="22"/>
          <w:szCs w:val="22"/>
        </w:rPr>
      </w:pPr>
    </w:p>
    <w:p w14:paraId="6B74D2F9" w14:textId="77777777" w:rsidR="00532D11" w:rsidRPr="003A7098" w:rsidRDefault="00532D11" w:rsidP="00AD1142">
      <w:pPr>
        <w:spacing w:after="120"/>
        <w:ind w:left="-360"/>
        <w:jc w:val="center"/>
        <w:rPr>
          <w:sz w:val="22"/>
          <w:szCs w:val="22"/>
        </w:rPr>
      </w:pPr>
      <w:r w:rsidRPr="00C8759D">
        <w:rPr>
          <w:noProof/>
          <w:sz w:val="22"/>
          <w:szCs w:val="22"/>
        </w:rPr>
        <w:drawing>
          <wp:inline distT="0" distB="0" distL="0" distR="0" wp14:anchorId="37160D37" wp14:editId="786C1D41">
            <wp:extent cx="6410325" cy="5523174"/>
            <wp:effectExtent l="0" t="0" r="0" b="1905"/>
            <wp:docPr id="1889025185"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09135" name="Picture 1" descr="A diagram of a company&#10;&#10;Description automatically generated with medium confidence"/>
                    <pic:cNvPicPr/>
                  </pic:nvPicPr>
                  <pic:blipFill rotWithShape="1">
                    <a:blip r:embed="rId17"/>
                    <a:srcRect l="3802"/>
                    <a:stretch/>
                  </pic:blipFill>
                  <pic:spPr bwMode="auto">
                    <a:xfrm>
                      <a:off x="0" y="0"/>
                      <a:ext cx="6445275" cy="5553287"/>
                    </a:xfrm>
                    <a:prstGeom prst="rect">
                      <a:avLst/>
                    </a:prstGeom>
                    <a:ln>
                      <a:noFill/>
                    </a:ln>
                    <a:extLst>
                      <a:ext uri="{53640926-AAD7-44D8-BBD7-CCE9431645EC}">
                        <a14:shadowObscured xmlns:a14="http://schemas.microsoft.com/office/drawing/2010/main"/>
                      </a:ext>
                    </a:extLst>
                  </pic:spPr>
                </pic:pic>
              </a:graphicData>
            </a:graphic>
          </wp:inline>
        </w:drawing>
      </w:r>
    </w:p>
    <w:p w14:paraId="06077A0E" w14:textId="77777777" w:rsidR="00532D11" w:rsidRDefault="00532D11" w:rsidP="008835FA">
      <w:pPr>
        <w:rPr>
          <w:b/>
          <w:bCs/>
          <w:sz w:val="28"/>
          <w:szCs w:val="28"/>
        </w:rPr>
      </w:pPr>
    </w:p>
    <w:p w14:paraId="30D3E474" w14:textId="77777777" w:rsidR="00AC3A48" w:rsidRDefault="00AC3A48">
      <w:pPr>
        <w:rPr>
          <w:b/>
          <w:bCs/>
          <w:sz w:val="28"/>
          <w:szCs w:val="28"/>
        </w:rPr>
      </w:pPr>
      <w:r>
        <w:rPr>
          <w:b/>
          <w:bCs/>
          <w:sz w:val="28"/>
          <w:szCs w:val="28"/>
        </w:rPr>
        <w:br w:type="page"/>
      </w:r>
    </w:p>
    <w:p w14:paraId="1CBCC84E" w14:textId="67FEB0DC" w:rsidR="00980B2A" w:rsidRPr="008835FA" w:rsidRDefault="00980B2A" w:rsidP="008835FA">
      <w:pPr>
        <w:rPr>
          <w:b/>
          <w:bCs/>
          <w:sz w:val="28"/>
          <w:szCs w:val="28"/>
        </w:rPr>
      </w:pPr>
      <w:bookmarkStart w:id="8" w:name="S3ProgramManagement"/>
      <w:r w:rsidRPr="008835FA">
        <w:rPr>
          <w:b/>
          <w:bCs/>
          <w:sz w:val="28"/>
          <w:szCs w:val="28"/>
        </w:rPr>
        <w:lastRenderedPageBreak/>
        <w:t xml:space="preserve">SECTION </w:t>
      </w:r>
      <w:r w:rsidR="00532D11">
        <w:rPr>
          <w:b/>
          <w:bCs/>
          <w:sz w:val="28"/>
          <w:szCs w:val="28"/>
        </w:rPr>
        <w:t>3</w:t>
      </w:r>
      <w:r w:rsidRPr="008835FA">
        <w:rPr>
          <w:b/>
          <w:bCs/>
          <w:sz w:val="28"/>
          <w:szCs w:val="28"/>
        </w:rPr>
        <w:t>: PROGRAM MANGEMENT</w:t>
      </w:r>
    </w:p>
    <w:bookmarkEnd w:id="8"/>
    <w:p w14:paraId="19B30418" w14:textId="77777777" w:rsidR="00886C31" w:rsidRPr="00737D63" w:rsidRDefault="00886C31" w:rsidP="008835FA">
      <w:pPr>
        <w:rPr>
          <w:b/>
          <w:bCs/>
          <w:sz w:val="22"/>
          <w:szCs w:val="22"/>
          <w:u w:val="single"/>
        </w:rPr>
      </w:pPr>
    </w:p>
    <w:p w14:paraId="799AEEF2" w14:textId="5F715411" w:rsidR="00980B2A" w:rsidRPr="00886C31" w:rsidRDefault="00980B2A" w:rsidP="008835FA">
      <w:pPr>
        <w:rPr>
          <w:b/>
          <w:bCs/>
          <w:u w:val="single"/>
        </w:rPr>
      </w:pPr>
      <w:bookmarkStart w:id="9" w:name="RolesandResponsibilities"/>
      <w:r w:rsidRPr="00886C31">
        <w:rPr>
          <w:b/>
          <w:bCs/>
          <w:u w:val="single"/>
        </w:rPr>
        <w:t>Roles and Responsibilities</w:t>
      </w:r>
    </w:p>
    <w:bookmarkEnd w:id="9"/>
    <w:p w14:paraId="784122D2" w14:textId="3A719C8C" w:rsidR="00980B2A" w:rsidRPr="008835FA" w:rsidRDefault="00980B2A" w:rsidP="008835FA">
      <w:pPr>
        <w:rPr>
          <w:rFonts w:eastAsia="Calibri" w:cs="Times New Roman"/>
          <w:kern w:val="0"/>
          <w:sz w:val="22"/>
          <w:szCs w:val="22"/>
          <w14:ligatures w14:val="none"/>
        </w:rPr>
      </w:pPr>
      <w:r w:rsidRPr="008835FA">
        <w:rPr>
          <w:rFonts w:eastAsia="Calibri" w:cs="Times New Roman"/>
          <w:kern w:val="0"/>
          <w:sz w:val="22"/>
          <w:szCs w:val="22"/>
          <w14:ligatures w14:val="none"/>
        </w:rPr>
        <w:t>Biosafety is a cooperative effort between UND and its employees. The Institutional Biosafety Committee (IBC), the Laboratory and Research Safety Officer, Principal Investigators and laboratory personnel must work in concert to minimize the risk of injury and illness associated with research involving potentially biohazardous materials. The Biosafety Program is managed through oversight provided by the IBC and the Office of Safety. The Biological Safety program at UND is developed from the University’s commitment to address and comply with the NIH Guidelines regarding safe research with recombinant DNA and associated viral</w:t>
      </w:r>
      <w:r w:rsidR="00E637BF">
        <w:rPr>
          <w:rFonts w:eastAsia="Calibri" w:cs="Times New Roman"/>
          <w:kern w:val="0"/>
          <w:sz w:val="22"/>
          <w:szCs w:val="22"/>
          <w14:ligatures w14:val="none"/>
        </w:rPr>
        <w:t xml:space="preserve"> and bacterial</w:t>
      </w:r>
      <w:r w:rsidRPr="008835FA">
        <w:rPr>
          <w:rFonts w:eastAsia="Calibri" w:cs="Times New Roman"/>
          <w:kern w:val="0"/>
          <w:sz w:val="22"/>
          <w:szCs w:val="22"/>
          <w14:ligatures w14:val="none"/>
        </w:rPr>
        <w:t xml:space="preserve"> materials. The IBC and Office of Safety are responsible for implementation of biosafety policies throughout the University.</w:t>
      </w:r>
    </w:p>
    <w:p w14:paraId="3199364B" w14:textId="77777777" w:rsidR="00980B2A" w:rsidRPr="008835FA" w:rsidRDefault="00980B2A" w:rsidP="008835FA">
      <w:pPr>
        <w:rPr>
          <w:rFonts w:eastAsia="Calibri" w:cs="Times New Roman"/>
          <w:kern w:val="0"/>
          <w:sz w:val="22"/>
          <w:szCs w:val="22"/>
          <w14:ligatures w14:val="none"/>
        </w:rPr>
      </w:pPr>
      <w:r w:rsidRPr="008835FA">
        <w:rPr>
          <w:rFonts w:eastAsia="Calibri" w:cs="Times New Roman"/>
          <w:kern w:val="0"/>
          <w:sz w:val="22"/>
          <w:szCs w:val="22"/>
          <w14:ligatures w14:val="none"/>
        </w:rPr>
        <w:t>Following is a list of individuals and/or organizations and their assigned responsibilities that will ensure the Biosafety Program is effectively implemented:</w:t>
      </w:r>
    </w:p>
    <w:p w14:paraId="79F25E6D" w14:textId="77777777" w:rsidR="00980B2A" w:rsidRPr="008835FA" w:rsidRDefault="00980B2A"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t>Principal Investigators / Primary Supervisors</w:t>
      </w:r>
    </w:p>
    <w:p w14:paraId="621D62EC" w14:textId="77777777" w:rsidR="00980B2A" w:rsidRPr="008835FA" w:rsidRDefault="00980B2A" w:rsidP="008835FA">
      <w:pPr>
        <w:rPr>
          <w:rFonts w:eastAsia="Calibri" w:cs="Times New Roman"/>
          <w:kern w:val="0"/>
          <w:sz w:val="22"/>
          <w:szCs w:val="22"/>
          <w14:ligatures w14:val="none"/>
        </w:rPr>
      </w:pPr>
      <w:r w:rsidRPr="008835FA">
        <w:rPr>
          <w:rFonts w:eastAsia="Calibri" w:cs="Times New Roman"/>
          <w:kern w:val="0"/>
          <w:sz w:val="22"/>
          <w:szCs w:val="22"/>
          <w14:ligatures w14:val="none"/>
        </w:rPr>
        <w:t>The Principal Investigators/Primary Supervisors are responsible for biosafety in their laboratory. They shall:</w:t>
      </w:r>
    </w:p>
    <w:p w14:paraId="1C68E428" w14:textId="77777777"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Ensure that all work is conducted in accordance with established policies and guidelines described in this document.</w:t>
      </w:r>
    </w:p>
    <w:p w14:paraId="7F05A5FF" w14:textId="7DF01FEC"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Ensure that all employees under </w:t>
      </w:r>
      <w:r w:rsidR="00E637BF">
        <w:rPr>
          <w:rFonts w:eastAsia="Calibri" w:cs="Times New Roman"/>
          <w:kern w:val="0"/>
          <w:sz w:val="22"/>
          <w:szCs w:val="22"/>
          <w14:ligatures w14:val="none"/>
        </w:rPr>
        <w:t>their</w:t>
      </w:r>
      <w:r w:rsidRPr="00275D53">
        <w:rPr>
          <w:rFonts w:eastAsia="Calibri" w:cs="Times New Roman"/>
          <w:kern w:val="0"/>
          <w:sz w:val="22"/>
          <w:szCs w:val="22"/>
          <w14:ligatures w14:val="none"/>
        </w:rPr>
        <w:t xml:space="preserve"> supervision are adequately trained in good microbiological techniques and have received </w:t>
      </w:r>
      <w:r w:rsidR="00C43930" w:rsidRPr="00275D53">
        <w:rPr>
          <w:rFonts w:eastAsia="Calibri" w:cs="Times New Roman"/>
          <w:kern w:val="0"/>
          <w:sz w:val="22"/>
          <w:szCs w:val="22"/>
          <w14:ligatures w14:val="none"/>
        </w:rPr>
        <w:t>the required</w:t>
      </w:r>
      <w:r w:rsidRPr="00275D53">
        <w:rPr>
          <w:rFonts w:eastAsia="Calibri" w:cs="Times New Roman"/>
          <w:kern w:val="0"/>
          <w:sz w:val="22"/>
          <w:szCs w:val="22"/>
          <w14:ligatures w14:val="none"/>
        </w:rPr>
        <w:t xml:space="preserve"> training.</w:t>
      </w:r>
    </w:p>
    <w:p w14:paraId="16BE352E" w14:textId="07CBBD4B"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Develop, </w:t>
      </w:r>
      <w:r w:rsidR="00B267E9" w:rsidRPr="00275D53">
        <w:rPr>
          <w:rFonts w:eastAsia="Calibri" w:cs="Times New Roman"/>
          <w:kern w:val="0"/>
          <w:sz w:val="22"/>
          <w:szCs w:val="22"/>
          <w14:ligatures w14:val="none"/>
        </w:rPr>
        <w:t>review,</w:t>
      </w:r>
      <w:r w:rsidRPr="00275D53">
        <w:rPr>
          <w:rFonts w:eastAsia="Calibri" w:cs="Times New Roman"/>
          <w:kern w:val="0"/>
          <w:sz w:val="22"/>
          <w:szCs w:val="22"/>
          <w14:ligatures w14:val="none"/>
        </w:rPr>
        <w:t xml:space="preserve"> and approve laboratory-specific and/or protocol-specific procedures, consulting with the LRSO when necessary.</w:t>
      </w:r>
    </w:p>
    <w:p w14:paraId="1A0ADDD6" w14:textId="77777777"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bCs/>
          <w:kern w:val="0"/>
          <w:sz w:val="22"/>
          <w:szCs w:val="22"/>
          <w14:ligatures w14:val="none"/>
        </w:rPr>
        <w:t>Provide training/information to all employees under his/her supervision regarding laboratory-specific or protocol-specific hazards and document such training.</w:t>
      </w:r>
    </w:p>
    <w:p w14:paraId="2DED1018" w14:textId="77777777"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Ensure that all at-risk employees have been informed of risk assessments and/or provisions for any recommended precautionary medical practices, such as vaccinations and any special health or handling requirements regarding potentially biohazardous materials or toxins used or stored in the laboratory or work area.</w:t>
      </w:r>
    </w:p>
    <w:p w14:paraId="7A8F28C7" w14:textId="07A69558"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Ensure prompt reporting of any job-related injuries, </w:t>
      </w:r>
      <w:r w:rsidR="00B267E9" w:rsidRPr="00275D53">
        <w:rPr>
          <w:rFonts w:eastAsia="Calibri" w:cs="Times New Roman"/>
          <w:kern w:val="0"/>
          <w:sz w:val="22"/>
          <w:szCs w:val="22"/>
          <w14:ligatures w14:val="none"/>
        </w:rPr>
        <w:t>exposures,</w:t>
      </w:r>
      <w:r w:rsidRPr="00275D53">
        <w:rPr>
          <w:rFonts w:eastAsia="Calibri" w:cs="Times New Roman"/>
          <w:kern w:val="0"/>
          <w:sz w:val="22"/>
          <w:szCs w:val="22"/>
          <w14:ligatures w14:val="none"/>
        </w:rPr>
        <w:t xml:space="preserve"> or illnesses. </w:t>
      </w:r>
    </w:p>
    <w:p w14:paraId="611C661C" w14:textId="77777777"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Inform the Supervisor and LRSO of any serious, or potentially serious, accidents/incidents or situations involving exposure to biohazardous materials. This would include any accidental releases, illnesses or diseases to workers, plants or animals involved in or potentially exposed to the activity, and any possible adverse personnel exposure.</w:t>
      </w:r>
    </w:p>
    <w:p w14:paraId="198617EA" w14:textId="77777777"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Act upon requests and/or directives from the IBC and/or Office of Safety and correct any unsafe laboratory conditions.</w:t>
      </w:r>
    </w:p>
    <w:p w14:paraId="48503A62" w14:textId="461043FC"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lastRenderedPageBreak/>
        <w:t xml:space="preserve">Ensure that appropriate containment devices and other engineering controls are in place and appear to be operating correctly, are current with certifications (ensure </w:t>
      </w:r>
      <w:r w:rsidR="0092212B">
        <w:rPr>
          <w:rFonts w:eastAsia="Calibri" w:cs="Times New Roman"/>
          <w:kern w:val="0"/>
          <w:sz w:val="22"/>
          <w:szCs w:val="22"/>
          <w14:ligatures w14:val="none"/>
        </w:rPr>
        <w:t>b</w:t>
      </w:r>
      <w:r w:rsidRPr="00275D53">
        <w:rPr>
          <w:rFonts w:eastAsia="Calibri" w:cs="Times New Roman"/>
          <w:kern w:val="0"/>
          <w:sz w:val="22"/>
          <w:szCs w:val="22"/>
          <w14:ligatures w14:val="none"/>
        </w:rPr>
        <w:t xml:space="preserve">iosafety </w:t>
      </w:r>
      <w:r w:rsidR="0092212B">
        <w:rPr>
          <w:rFonts w:eastAsia="Calibri" w:cs="Times New Roman"/>
          <w:kern w:val="0"/>
          <w:sz w:val="22"/>
          <w:szCs w:val="22"/>
          <w14:ligatures w14:val="none"/>
        </w:rPr>
        <w:t>c</w:t>
      </w:r>
      <w:r w:rsidRPr="00275D53">
        <w:rPr>
          <w:rFonts w:eastAsia="Calibri" w:cs="Times New Roman"/>
          <w:kern w:val="0"/>
          <w:sz w:val="22"/>
          <w:szCs w:val="22"/>
          <w14:ligatures w14:val="none"/>
        </w:rPr>
        <w:t>abinets are certified) and are used according to established procedures.</w:t>
      </w:r>
    </w:p>
    <w:p w14:paraId="48DC9B4A" w14:textId="3E026D6D"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Conduct regular laboratory safety inspections and participate in audits and </w:t>
      </w:r>
      <w:r w:rsidR="00B267E9" w:rsidRPr="00275D53">
        <w:rPr>
          <w:rFonts w:eastAsia="Calibri" w:cs="Times New Roman"/>
          <w:kern w:val="0"/>
          <w:sz w:val="22"/>
          <w:szCs w:val="22"/>
          <w14:ligatures w14:val="none"/>
        </w:rPr>
        <w:t>evaluations,</w:t>
      </w:r>
      <w:r w:rsidRPr="00275D53">
        <w:rPr>
          <w:rFonts w:eastAsia="Calibri" w:cs="Times New Roman"/>
          <w:kern w:val="0"/>
          <w:sz w:val="22"/>
          <w:szCs w:val="22"/>
          <w14:ligatures w14:val="none"/>
        </w:rPr>
        <w:t xml:space="preserve"> as necessary.</w:t>
      </w:r>
    </w:p>
    <w:p w14:paraId="523E4FFB" w14:textId="64B52469"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Ensure that appropriate personal protective equipment (PPE) is available, used and that staff is adequately trained </w:t>
      </w:r>
      <w:r w:rsidR="00353560" w:rsidRPr="00275D53">
        <w:rPr>
          <w:rFonts w:eastAsia="Calibri" w:cs="Times New Roman"/>
          <w:kern w:val="0"/>
          <w:sz w:val="22"/>
          <w:szCs w:val="22"/>
          <w14:ligatures w14:val="none"/>
        </w:rPr>
        <w:t>in</w:t>
      </w:r>
      <w:r w:rsidRPr="00275D53">
        <w:rPr>
          <w:rFonts w:eastAsia="Calibri" w:cs="Times New Roman"/>
          <w:kern w:val="0"/>
          <w:sz w:val="22"/>
          <w:szCs w:val="22"/>
          <w14:ligatures w14:val="none"/>
        </w:rPr>
        <w:t xml:space="preserve"> the use and limitations of PPE equipment.</w:t>
      </w:r>
    </w:p>
    <w:p w14:paraId="3B8F31D1" w14:textId="71D36524"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Keep </w:t>
      </w:r>
      <w:r w:rsidR="00C43930">
        <w:rPr>
          <w:rFonts w:eastAsia="Calibri" w:cs="Times New Roman"/>
          <w:kern w:val="0"/>
          <w:sz w:val="22"/>
          <w:szCs w:val="22"/>
          <w14:ligatures w14:val="none"/>
        </w:rPr>
        <w:t>one</w:t>
      </w:r>
      <w:r w:rsidRPr="00275D53">
        <w:rPr>
          <w:rFonts w:eastAsia="Calibri" w:cs="Times New Roman"/>
          <w:kern w:val="0"/>
          <w:sz w:val="22"/>
          <w:szCs w:val="22"/>
          <w14:ligatures w14:val="none"/>
        </w:rPr>
        <w:t xml:space="preserve">self and staff informed of new criteria, guidelines, </w:t>
      </w:r>
      <w:r w:rsidR="00B267E9" w:rsidRPr="00275D53">
        <w:rPr>
          <w:rFonts w:eastAsia="Calibri" w:cs="Times New Roman"/>
          <w:kern w:val="0"/>
          <w:sz w:val="22"/>
          <w:szCs w:val="22"/>
          <w14:ligatures w14:val="none"/>
        </w:rPr>
        <w:t>directives,</w:t>
      </w:r>
      <w:r w:rsidRPr="00275D53">
        <w:rPr>
          <w:rFonts w:eastAsia="Calibri" w:cs="Times New Roman"/>
          <w:kern w:val="0"/>
          <w:sz w:val="22"/>
          <w:szCs w:val="22"/>
          <w14:ligatures w14:val="none"/>
        </w:rPr>
        <w:t xml:space="preserve"> or procedures that may be developed or which become applicable to activities in which they are engaged.</w:t>
      </w:r>
    </w:p>
    <w:p w14:paraId="44B0621F" w14:textId="67A376AF"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Ensure proper decontamination of the laboratory or animal facility and equipment necessary to ensure safety during any needed inspection, calibration certification, </w:t>
      </w:r>
      <w:r w:rsidR="00B267E9" w:rsidRPr="00275D53">
        <w:rPr>
          <w:rFonts w:eastAsia="Calibri" w:cs="Times New Roman"/>
          <w:kern w:val="0"/>
          <w:sz w:val="22"/>
          <w:szCs w:val="22"/>
          <w14:ligatures w14:val="none"/>
        </w:rPr>
        <w:t>disposal,</w:t>
      </w:r>
      <w:r w:rsidRPr="00275D53">
        <w:rPr>
          <w:rFonts w:eastAsia="Calibri" w:cs="Times New Roman"/>
          <w:kern w:val="0"/>
          <w:sz w:val="22"/>
          <w:szCs w:val="22"/>
          <w14:ligatures w14:val="none"/>
        </w:rPr>
        <w:t xml:space="preserve"> or termination of use.</w:t>
      </w:r>
    </w:p>
    <w:p w14:paraId="3DB12AA2" w14:textId="77777777"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Ensure proper disposal of all infectious material or toxins.</w:t>
      </w:r>
    </w:p>
    <w:p w14:paraId="50BD6DDB" w14:textId="77777777"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Provide adequate storage of materials and security based on risk categorization.</w:t>
      </w:r>
    </w:p>
    <w:p w14:paraId="0E2C3EB5" w14:textId="58DA4712" w:rsidR="00980B2A" w:rsidRPr="00275D53" w:rsidRDefault="00980B2A" w:rsidP="000A313A">
      <w:pPr>
        <w:pStyle w:val="ListParagraph"/>
        <w:numPr>
          <w:ilvl w:val="0"/>
          <w:numId w:val="26"/>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Maintain proper biohazard labeling of </w:t>
      </w:r>
      <w:r w:rsidR="00C43930" w:rsidRPr="00275D53">
        <w:rPr>
          <w:rFonts w:eastAsia="Calibri" w:cs="Times New Roman"/>
          <w:kern w:val="0"/>
          <w:sz w:val="22"/>
          <w:szCs w:val="22"/>
          <w14:ligatures w14:val="none"/>
        </w:rPr>
        <w:t>premises</w:t>
      </w:r>
      <w:r w:rsidRPr="00275D53">
        <w:rPr>
          <w:rFonts w:eastAsia="Calibri" w:cs="Times New Roman"/>
          <w:kern w:val="0"/>
          <w:sz w:val="22"/>
          <w:szCs w:val="22"/>
          <w14:ligatures w14:val="none"/>
        </w:rPr>
        <w:t xml:space="preserve"> under their control.</w:t>
      </w:r>
    </w:p>
    <w:p w14:paraId="6E481F44" w14:textId="77777777" w:rsidR="00980B2A" w:rsidRPr="008835FA" w:rsidRDefault="00980B2A"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t>Laboratory Managers</w:t>
      </w:r>
    </w:p>
    <w:p w14:paraId="5FE4722E" w14:textId="77777777" w:rsidR="00980B2A" w:rsidRPr="008835FA" w:rsidRDefault="00980B2A" w:rsidP="008835FA">
      <w:pPr>
        <w:rPr>
          <w:rFonts w:eastAsia="Calibri" w:cs="Times New Roman"/>
          <w:kern w:val="0"/>
          <w:sz w:val="22"/>
          <w:szCs w:val="22"/>
          <w14:ligatures w14:val="none"/>
        </w:rPr>
      </w:pPr>
      <w:r w:rsidRPr="008835FA">
        <w:rPr>
          <w:rFonts w:eastAsia="Calibri" w:cs="Times New Roman"/>
          <w:kern w:val="0"/>
          <w:sz w:val="22"/>
          <w:szCs w:val="22"/>
          <w14:ligatures w14:val="none"/>
        </w:rPr>
        <w:t>When delegated by the PI, Laboratory Managers who have a supervisory role are responsible for:</w:t>
      </w:r>
    </w:p>
    <w:p w14:paraId="59FD3FED" w14:textId="77777777" w:rsidR="00980B2A" w:rsidRPr="00275D53" w:rsidRDefault="00980B2A" w:rsidP="000A313A">
      <w:pPr>
        <w:pStyle w:val="ListParagraph"/>
        <w:numPr>
          <w:ilvl w:val="0"/>
          <w:numId w:val="27"/>
        </w:numPr>
        <w:rPr>
          <w:rFonts w:eastAsia="Calibri" w:cs="Times New Roman"/>
          <w:kern w:val="0"/>
          <w:sz w:val="22"/>
          <w:szCs w:val="22"/>
          <w14:ligatures w14:val="none"/>
        </w:rPr>
      </w:pPr>
      <w:r w:rsidRPr="00275D53">
        <w:rPr>
          <w:rFonts w:eastAsia="Calibri" w:cs="Times New Roman"/>
          <w:kern w:val="0"/>
          <w:sz w:val="22"/>
          <w:szCs w:val="22"/>
          <w14:ligatures w14:val="none"/>
        </w:rPr>
        <w:t>Ensuring that all University and laboratory practices and protocols are followed. Lab managers are responsible for identifying any unsafe lab practices or workers and reporting them to the PI.</w:t>
      </w:r>
    </w:p>
    <w:p w14:paraId="4C8D8A78" w14:textId="77777777" w:rsidR="00980B2A" w:rsidRPr="008835FA" w:rsidRDefault="00980B2A"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t>Students and Employees</w:t>
      </w:r>
    </w:p>
    <w:p w14:paraId="6D05ED9D" w14:textId="77777777" w:rsidR="00980B2A" w:rsidRPr="008835FA" w:rsidRDefault="00980B2A" w:rsidP="008835FA">
      <w:pPr>
        <w:rPr>
          <w:rFonts w:eastAsia="Calibri" w:cs="Times New Roman"/>
          <w:bCs/>
          <w:kern w:val="0"/>
          <w:sz w:val="22"/>
          <w:szCs w:val="22"/>
          <w14:ligatures w14:val="none"/>
        </w:rPr>
      </w:pPr>
      <w:r w:rsidRPr="008835FA">
        <w:rPr>
          <w:rFonts w:eastAsia="Calibri" w:cs="Times New Roman"/>
          <w:kern w:val="0"/>
          <w:sz w:val="22"/>
          <w:szCs w:val="22"/>
          <w14:ligatures w14:val="none"/>
        </w:rPr>
        <w:t>All students and employees performing work with biohazardous materials must accept a shared responsibility for operating in a safe manner. Ultimately, each individual is responsible for his/her own safety. They also shall:</w:t>
      </w:r>
    </w:p>
    <w:p w14:paraId="17799FF1" w14:textId="77777777" w:rsidR="00980B2A" w:rsidRPr="00275D53" w:rsidRDefault="00980B2A" w:rsidP="000A313A">
      <w:pPr>
        <w:pStyle w:val="ListParagraph"/>
        <w:numPr>
          <w:ilvl w:val="0"/>
          <w:numId w:val="27"/>
        </w:numPr>
        <w:rPr>
          <w:rFonts w:eastAsia="Calibri" w:cs="Times New Roman"/>
          <w:bCs/>
          <w:kern w:val="0"/>
          <w:sz w:val="22"/>
          <w:szCs w:val="22"/>
          <w14:ligatures w14:val="none"/>
        </w:rPr>
      </w:pPr>
      <w:r w:rsidRPr="00275D53">
        <w:rPr>
          <w:rFonts w:eastAsia="Calibri" w:cs="Times New Roman"/>
          <w:kern w:val="0"/>
          <w:sz w:val="22"/>
          <w:szCs w:val="22"/>
          <w14:ligatures w14:val="none"/>
        </w:rPr>
        <w:t>Ensure that all work is conducted in accordance with established policies and guidelines described in this document or specific laboratory standard operating procedures (SOPs).</w:t>
      </w:r>
    </w:p>
    <w:p w14:paraId="2FF9966D" w14:textId="77777777" w:rsidR="00980B2A" w:rsidRPr="00275D53" w:rsidRDefault="00980B2A" w:rsidP="000A313A">
      <w:pPr>
        <w:pStyle w:val="ListParagraph"/>
        <w:numPr>
          <w:ilvl w:val="0"/>
          <w:numId w:val="27"/>
        </w:numPr>
        <w:rPr>
          <w:rFonts w:eastAsia="Calibri" w:cs="Times New Roman"/>
          <w:bCs/>
          <w:kern w:val="0"/>
          <w:sz w:val="22"/>
          <w:szCs w:val="22"/>
          <w14:ligatures w14:val="none"/>
        </w:rPr>
      </w:pPr>
      <w:r w:rsidRPr="00275D53">
        <w:rPr>
          <w:rFonts w:eastAsia="Calibri" w:cs="Times New Roman"/>
          <w:kern w:val="0"/>
          <w:sz w:val="22"/>
          <w:szCs w:val="22"/>
          <w14:ligatures w14:val="none"/>
        </w:rPr>
        <w:t>Report all hazardous conditions to the PI and /or LRSO.</w:t>
      </w:r>
    </w:p>
    <w:p w14:paraId="150C9E14" w14:textId="1A867B9D" w:rsidR="00980B2A" w:rsidRPr="00275D53" w:rsidRDefault="00980B2A" w:rsidP="000A313A">
      <w:pPr>
        <w:pStyle w:val="ListParagraph"/>
        <w:numPr>
          <w:ilvl w:val="0"/>
          <w:numId w:val="27"/>
        </w:numPr>
        <w:rPr>
          <w:rFonts w:eastAsia="Calibri" w:cs="Times New Roman"/>
          <w:bCs/>
          <w:kern w:val="0"/>
          <w:sz w:val="22"/>
          <w:szCs w:val="22"/>
          <w14:ligatures w14:val="none"/>
        </w:rPr>
      </w:pPr>
      <w:r w:rsidRPr="00275D53">
        <w:rPr>
          <w:rFonts w:eastAsia="Calibri" w:cs="Times New Roman"/>
          <w:kern w:val="0"/>
          <w:sz w:val="22"/>
          <w:szCs w:val="22"/>
          <w14:ligatures w14:val="none"/>
        </w:rPr>
        <w:t xml:space="preserve">Promptly report any job-related injuries, </w:t>
      </w:r>
      <w:r w:rsidR="00B267E9" w:rsidRPr="00275D53">
        <w:rPr>
          <w:rFonts w:eastAsia="Calibri" w:cs="Times New Roman"/>
          <w:kern w:val="0"/>
          <w:sz w:val="22"/>
          <w:szCs w:val="22"/>
          <w14:ligatures w14:val="none"/>
        </w:rPr>
        <w:t>exposures,</w:t>
      </w:r>
      <w:r w:rsidRPr="00275D53">
        <w:rPr>
          <w:rFonts w:eastAsia="Calibri" w:cs="Times New Roman"/>
          <w:kern w:val="0"/>
          <w:sz w:val="22"/>
          <w:szCs w:val="22"/>
          <w14:ligatures w14:val="none"/>
        </w:rPr>
        <w:t xml:space="preserve"> or illnesses to the PI and/or LRSO and seek medical treatment immediately.</w:t>
      </w:r>
    </w:p>
    <w:p w14:paraId="20192DE0" w14:textId="77777777" w:rsidR="00980B2A" w:rsidRPr="00275D53" w:rsidRDefault="00980B2A" w:rsidP="000A313A">
      <w:pPr>
        <w:pStyle w:val="ListParagraph"/>
        <w:numPr>
          <w:ilvl w:val="0"/>
          <w:numId w:val="27"/>
        </w:numPr>
        <w:rPr>
          <w:rFonts w:eastAsia="Calibri" w:cs="Times New Roman"/>
          <w:bCs/>
          <w:kern w:val="0"/>
          <w:sz w:val="22"/>
          <w:szCs w:val="22"/>
          <w14:ligatures w14:val="none"/>
        </w:rPr>
      </w:pPr>
      <w:r w:rsidRPr="00275D53">
        <w:rPr>
          <w:rFonts w:eastAsia="Calibri" w:cs="Times New Roman"/>
          <w:kern w:val="0"/>
          <w:sz w:val="22"/>
          <w:szCs w:val="22"/>
          <w14:ligatures w14:val="none"/>
        </w:rPr>
        <w:t>Refrain from operating any equipment or instrument without proper instruction.</w:t>
      </w:r>
    </w:p>
    <w:p w14:paraId="01019E3B" w14:textId="77777777" w:rsidR="00980B2A" w:rsidRPr="00275D53" w:rsidRDefault="00980B2A" w:rsidP="000A313A">
      <w:pPr>
        <w:pStyle w:val="ListParagraph"/>
        <w:numPr>
          <w:ilvl w:val="0"/>
          <w:numId w:val="27"/>
        </w:numPr>
        <w:rPr>
          <w:rFonts w:eastAsia="Calibri" w:cs="Times New Roman"/>
          <w:bCs/>
          <w:kern w:val="0"/>
          <w:sz w:val="22"/>
          <w:szCs w:val="22"/>
          <w14:ligatures w14:val="none"/>
        </w:rPr>
      </w:pPr>
      <w:r w:rsidRPr="00275D53">
        <w:rPr>
          <w:rFonts w:eastAsia="Calibri" w:cs="Times New Roman"/>
          <w:kern w:val="0"/>
          <w:sz w:val="22"/>
          <w:szCs w:val="22"/>
          <w14:ligatures w14:val="none"/>
        </w:rPr>
        <w:t>Request information and training when unsure how to handle potentially hazardous materials.</w:t>
      </w:r>
    </w:p>
    <w:p w14:paraId="361FE539" w14:textId="77777777" w:rsidR="00980B2A" w:rsidRPr="00275D53" w:rsidRDefault="00980B2A" w:rsidP="000A313A">
      <w:pPr>
        <w:pStyle w:val="ListParagraph"/>
        <w:numPr>
          <w:ilvl w:val="0"/>
          <w:numId w:val="27"/>
        </w:numPr>
        <w:rPr>
          <w:rFonts w:eastAsia="Calibri" w:cs="Times New Roman"/>
          <w:bCs/>
          <w:kern w:val="0"/>
          <w:sz w:val="22"/>
          <w:szCs w:val="22"/>
          <w14:ligatures w14:val="none"/>
        </w:rPr>
      </w:pPr>
      <w:r w:rsidRPr="00275D53">
        <w:rPr>
          <w:rFonts w:eastAsia="Calibri" w:cs="Times New Roman"/>
          <w:kern w:val="0"/>
          <w:sz w:val="22"/>
          <w:szCs w:val="22"/>
          <w14:ligatures w14:val="none"/>
        </w:rPr>
        <w:t>Wear and maintain PPE necessary to perform each task.</w:t>
      </w:r>
    </w:p>
    <w:p w14:paraId="00A9807F" w14:textId="01D46275" w:rsidR="00980B2A" w:rsidRPr="00275D53" w:rsidRDefault="00980B2A" w:rsidP="000A313A">
      <w:pPr>
        <w:pStyle w:val="ListParagraph"/>
        <w:numPr>
          <w:ilvl w:val="0"/>
          <w:numId w:val="27"/>
        </w:numPr>
        <w:rPr>
          <w:rFonts w:eastAsia="Calibri" w:cs="Times New Roman"/>
          <w:bCs/>
          <w:kern w:val="0"/>
          <w:sz w:val="22"/>
          <w:szCs w:val="22"/>
          <w14:ligatures w14:val="none"/>
        </w:rPr>
      </w:pPr>
      <w:r w:rsidRPr="00275D53">
        <w:rPr>
          <w:rFonts w:eastAsia="Calibri" w:cs="Times New Roman"/>
          <w:kern w:val="0"/>
          <w:sz w:val="22"/>
          <w:szCs w:val="22"/>
          <w14:ligatures w14:val="none"/>
        </w:rPr>
        <w:t xml:space="preserve">Use engineering controls properly – Example: Biosafety </w:t>
      </w:r>
      <w:r w:rsidR="0092212B">
        <w:rPr>
          <w:rFonts w:eastAsia="Calibri" w:cs="Times New Roman"/>
          <w:kern w:val="0"/>
          <w:sz w:val="22"/>
          <w:szCs w:val="22"/>
          <w14:ligatures w14:val="none"/>
        </w:rPr>
        <w:t>c</w:t>
      </w:r>
      <w:r w:rsidRPr="00275D53">
        <w:rPr>
          <w:rFonts w:eastAsia="Calibri" w:cs="Times New Roman"/>
          <w:kern w:val="0"/>
          <w:sz w:val="22"/>
          <w:szCs w:val="22"/>
          <w14:ligatures w14:val="none"/>
        </w:rPr>
        <w:t>abinet.</w:t>
      </w:r>
    </w:p>
    <w:p w14:paraId="01B33D57" w14:textId="77777777" w:rsidR="00980B2A" w:rsidRPr="00275D53" w:rsidRDefault="00980B2A" w:rsidP="000A313A">
      <w:pPr>
        <w:pStyle w:val="ListParagraph"/>
        <w:numPr>
          <w:ilvl w:val="0"/>
          <w:numId w:val="27"/>
        </w:numPr>
        <w:rPr>
          <w:rFonts w:eastAsia="Calibri" w:cs="Times New Roman"/>
          <w:bCs/>
          <w:kern w:val="0"/>
          <w:sz w:val="22"/>
          <w:szCs w:val="22"/>
          <w14:ligatures w14:val="none"/>
        </w:rPr>
      </w:pPr>
      <w:r w:rsidRPr="00275D53">
        <w:rPr>
          <w:rFonts w:eastAsia="Calibri" w:cs="Times New Roman"/>
          <w:kern w:val="0"/>
          <w:sz w:val="22"/>
          <w:szCs w:val="22"/>
          <w14:ligatures w14:val="none"/>
        </w:rPr>
        <w:t>Practice good microbiological techniques.</w:t>
      </w:r>
    </w:p>
    <w:p w14:paraId="5444E4BC" w14:textId="77777777" w:rsidR="00980B2A" w:rsidRPr="00275D53" w:rsidRDefault="00980B2A" w:rsidP="000A313A">
      <w:pPr>
        <w:pStyle w:val="ListParagraph"/>
        <w:numPr>
          <w:ilvl w:val="0"/>
          <w:numId w:val="27"/>
        </w:numPr>
        <w:rPr>
          <w:rFonts w:eastAsia="Calibri" w:cs="Times New Roman"/>
          <w:bCs/>
          <w:kern w:val="0"/>
          <w:sz w:val="22"/>
          <w:szCs w:val="22"/>
          <w14:ligatures w14:val="none"/>
        </w:rPr>
      </w:pPr>
      <w:r w:rsidRPr="00275D53">
        <w:rPr>
          <w:rFonts w:eastAsia="Calibri" w:cs="Times New Roman"/>
          <w:kern w:val="0"/>
          <w:sz w:val="22"/>
          <w:szCs w:val="22"/>
          <w14:ligatures w14:val="none"/>
        </w:rPr>
        <w:t>Participate in all required training programs.</w:t>
      </w:r>
    </w:p>
    <w:p w14:paraId="3EF305BE" w14:textId="77777777" w:rsidR="00F612AB" w:rsidRDefault="00F612AB" w:rsidP="008835FA">
      <w:pPr>
        <w:rPr>
          <w:rFonts w:eastAsia="Calibri" w:cs="Times New Roman"/>
          <w:b/>
          <w:kern w:val="0"/>
          <w:sz w:val="22"/>
          <w:szCs w:val="22"/>
          <w14:ligatures w14:val="none"/>
        </w:rPr>
      </w:pPr>
    </w:p>
    <w:p w14:paraId="313B6784" w14:textId="66F42317" w:rsidR="00980B2A" w:rsidRPr="008835FA" w:rsidRDefault="00980B2A"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lastRenderedPageBreak/>
        <w:t>Institutional Biosafety Committee (IBC)</w:t>
      </w:r>
    </w:p>
    <w:p w14:paraId="4EFEF437" w14:textId="77777777" w:rsidR="00980B2A" w:rsidRPr="00275D53" w:rsidRDefault="00980B2A" w:rsidP="000A313A">
      <w:pPr>
        <w:pStyle w:val="ListParagraph"/>
        <w:numPr>
          <w:ilvl w:val="0"/>
          <w:numId w:val="28"/>
        </w:numPr>
        <w:rPr>
          <w:rFonts w:eastAsia="Calibri" w:cs="Times New Roman"/>
          <w:i/>
          <w:iCs/>
          <w:kern w:val="0"/>
          <w:sz w:val="22"/>
          <w:szCs w:val="22"/>
          <w14:ligatures w14:val="none"/>
        </w:rPr>
      </w:pPr>
      <w:r w:rsidRPr="00275D53">
        <w:rPr>
          <w:rFonts w:eastAsia="Calibri" w:cs="Times New Roman"/>
          <w:kern w:val="0"/>
          <w:sz w:val="22"/>
          <w:szCs w:val="22"/>
          <w14:ligatures w14:val="none"/>
        </w:rPr>
        <w:t>Develop policy and procedures, which provide guidance for activities involving potentially biohazardous materials.</w:t>
      </w:r>
    </w:p>
    <w:p w14:paraId="25EBC3D7" w14:textId="77777777" w:rsidR="00980B2A" w:rsidRPr="00275D53" w:rsidRDefault="00980B2A" w:rsidP="000A313A">
      <w:pPr>
        <w:pStyle w:val="ListParagraph"/>
        <w:numPr>
          <w:ilvl w:val="0"/>
          <w:numId w:val="28"/>
        </w:numPr>
        <w:rPr>
          <w:rFonts w:eastAsia="Calibri" w:cs="Times New Roman"/>
          <w:i/>
          <w:iCs/>
          <w:kern w:val="0"/>
          <w:sz w:val="22"/>
          <w:szCs w:val="22"/>
          <w14:ligatures w14:val="none"/>
        </w:rPr>
      </w:pPr>
      <w:r w:rsidRPr="00275D53">
        <w:rPr>
          <w:rFonts w:eastAsia="Calibri" w:cs="Times New Roman"/>
          <w:kern w:val="0"/>
          <w:sz w:val="22"/>
          <w:szCs w:val="22"/>
          <w14:ligatures w14:val="none"/>
        </w:rPr>
        <w:t>Follow the guidelines for membership defined by the NIH.</w:t>
      </w:r>
    </w:p>
    <w:p w14:paraId="60C4CB1F" w14:textId="7EB89130" w:rsidR="00980B2A" w:rsidRPr="00275D53" w:rsidRDefault="00980B2A" w:rsidP="000A313A">
      <w:pPr>
        <w:pStyle w:val="ListParagraph"/>
        <w:numPr>
          <w:ilvl w:val="0"/>
          <w:numId w:val="28"/>
        </w:numPr>
        <w:rPr>
          <w:rFonts w:eastAsia="Calibri" w:cs="Times New Roman"/>
          <w:i/>
          <w:iCs/>
          <w:kern w:val="0"/>
          <w:sz w:val="22"/>
          <w:szCs w:val="22"/>
          <w14:ligatures w14:val="none"/>
        </w:rPr>
      </w:pPr>
      <w:r w:rsidRPr="00275D53">
        <w:rPr>
          <w:rFonts w:eastAsia="Calibri" w:cs="Times New Roman"/>
          <w:kern w:val="0"/>
          <w:sz w:val="22"/>
          <w:szCs w:val="22"/>
          <w14:ligatures w14:val="none"/>
        </w:rPr>
        <w:t xml:space="preserve">Ensure that our biosafety policies, </w:t>
      </w:r>
      <w:r w:rsidR="00B267E9" w:rsidRPr="00275D53">
        <w:rPr>
          <w:rFonts w:eastAsia="Calibri" w:cs="Times New Roman"/>
          <w:kern w:val="0"/>
          <w:sz w:val="22"/>
          <w:szCs w:val="22"/>
          <w14:ligatures w14:val="none"/>
        </w:rPr>
        <w:t>practices,</w:t>
      </w:r>
      <w:r w:rsidRPr="00275D53">
        <w:rPr>
          <w:rFonts w:eastAsia="Calibri" w:cs="Times New Roman"/>
          <w:kern w:val="0"/>
          <w:sz w:val="22"/>
          <w:szCs w:val="22"/>
          <w14:ligatures w14:val="none"/>
        </w:rPr>
        <w:t xml:space="preserve"> and facilities meet regulatory requirements and follow university-accepted practice.</w:t>
      </w:r>
    </w:p>
    <w:p w14:paraId="78B1510E" w14:textId="7A94D120" w:rsidR="00980B2A" w:rsidRPr="00275D53" w:rsidRDefault="00980B2A" w:rsidP="000A313A">
      <w:pPr>
        <w:pStyle w:val="ListParagraph"/>
        <w:numPr>
          <w:ilvl w:val="0"/>
          <w:numId w:val="28"/>
        </w:numPr>
        <w:rPr>
          <w:rFonts w:eastAsia="Calibri" w:cs="Times New Roman"/>
          <w:i/>
          <w:iCs/>
          <w:kern w:val="0"/>
          <w:sz w:val="22"/>
          <w:szCs w:val="22"/>
          <w14:ligatures w14:val="none"/>
        </w:rPr>
      </w:pPr>
      <w:r w:rsidRPr="00275D53">
        <w:rPr>
          <w:rFonts w:eastAsia="Calibri" w:cs="Times New Roman"/>
          <w:kern w:val="0"/>
          <w:sz w:val="22"/>
          <w:szCs w:val="22"/>
          <w14:ligatures w14:val="none"/>
        </w:rPr>
        <w:t xml:space="preserve">Review and/or approve risk assessments for specific biohazardous agents. When warranted, ask whether the scientific aims of the proposed research cannot be sought by means </w:t>
      </w:r>
      <w:r w:rsidR="00C43930" w:rsidRPr="00275D53">
        <w:rPr>
          <w:rFonts w:eastAsia="Calibri" w:cs="Times New Roman"/>
          <w:kern w:val="0"/>
          <w:sz w:val="22"/>
          <w:szCs w:val="22"/>
          <w14:ligatures w14:val="none"/>
        </w:rPr>
        <w:t>involving</w:t>
      </w:r>
      <w:r w:rsidRPr="00275D53">
        <w:rPr>
          <w:rFonts w:eastAsia="Calibri" w:cs="Times New Roman"/>
          <w:kern w:val="0"/>
          <w:sz w:val="22"/>
          <w:szCs w:val="22"/>
          <w14:ligatures w14:val="none"/>
        </w:rPr>
        <w:t xml:space="preserve"> </w:t>
      </w:r>
      <w:r w:rsidR="00C43930">
        <w:rPr>
          <w:rFonts w:eastAsia="Calibri" w:cs="Times New Roman"/>
          <w:kern w:val="0"/>
          <w:sz w:val="22"/>
          <w:szCs w:val="22"/>
          <w14:ligatures w14:val="none"/>
        </w:rPr>
        <w:t xml:space="preserve">a </w:t>
      </w:r>
      <w:r w:rsidRPr="00275D53">
        <w:rPr>
          <w:rFonts w:eastAsia="Calibri" w:cs="Times New Roman"/>
          <w:kern w:val="0"/>
          <w:sz w:val="22"/>
          <w:szCs w:val="22"/>
          <w14:ligatures w14:val="none"/>
        </w:rPr>
        <w:t>lower biohazard potential, and when appropriate, bring to executive management’s attention the risks associated with a particular experiment.</w:t>
      </w:r>
    </w:p>
    <w:p w14:paraId="682B02E3" w14:textId="77777777" w:rsidR="00980B2A" w:rsidRPr="00275D53" w:rsidRDefault="00980B2A" w:rsidP="000A313A">
      <w:pPr>
        <w:pStyle w:val="ListParagraph"/>
        <w:numPr>
          <w:ilvl w:val="0"/>
          <w:numId w:val="28"/>
        </w:numPr>
        <w:rPr>
          <w:rFonts w:eastAsia="Calibri" w:cs="Times New Roman"/>
          <w:i/>
          <w:iCs/>
          <w:kern w:val="0"/>
          <w:sz w:val="22"/>
          <w:szCs w:val="22"/>
          <w14:ligatures w14:val="none"/>
        </w:rPr>
      </w:pPr>
      <w:r w:rsidRPr="00275D53">
        <w:rPr>
          <w:rFonts w:eastAsia="Calibri" w:cs="Times New Roman"/>
          <w:kern w:val="0"/>
          <w:sz w:val="22"/>
          <w:szCs w:val="22"/>
          <w14:ligatures w14:val="none"/>
        </w:rPr>
        <w:t xml:space="preserve">Report any significant problems with or violations of the </w:t>
      </w:r>
      <w:r w:rsidRPr="00275D53">
        <w:rPr>
          <w:rFonts w:eastAsia="Calibri" w:cs="Times New Roman"/>
          <w:i/>
          <w:kern w:val="0"/>
          <w:sz w:val="22"/>
          <w:szCs w:val="22"/>
          <w14:ligatures w14:val="none"/>
        </w:rPr>
        <w:t>NIH Guidelines</w:t>
      </w:r>
      <w:r w:rsidRPr="00275D53">
        <w:rPr>
          <w:rFonts w:eastAsia="Calibri" w:cs="Times New Roman"/>
          <w:kern w:val="0"/>
          <w:sz w:val="22"/>
          <w:szCs w:val="22"/>
          <w14:ligatures w14:val="none"/>
        </w:rPr>
        <w:t xml:space="preserve"> and any significant research-related accidents or illness to the appropriate Institutional Office and to the NIH Office of Biotechnology Activities (OBA) within 30 days.</w:t>
      </w:r>
    </w:p>
    <w:p w14:paraId="52BECD0E" w14:textId="5ED866DF" w:rsidR="00980B2A" w:rsidRPr="00275D53" w:rsidRDefault="00980B2A" w:rsidP="000A313A">
      <w:pPr>
        <w:pStyle w:val="ListParagraph"/>
        <w:numPr>
          <w:ilvl w:val="0"/>
          <w:numId w:val="28"/>
        </w:numPr>
        <w:rPr>
          <w:rFonts w:eastAsia="Calibri" w:cs="Times New Roman"/>
          <w:i/>
          <w:iCs/>
          <w:kern w:val="0"/>
          <w:sz w:val="22"/>
          <w:szCs w:val="22"/>
          <w14:ligatures w14:val="none"/>
        </w:rPr>
      </w:pPr>
      <w:r w:rsidRPr="00275D53">
        <w:rPr>
          <w:rFonts w:eastAsia="Calibri" w:cs="Times New Roman"/>
          <w:kern w:val="0"/>
          <w:sz w:val="22"/>
          <w:szCs w:val="22"/>
          <w14:ligatures w14:val="none"/>
        </w:rPr>
        <w:t>Ensure that an inventory of potentially biohazardous materials and toxins is maintained. Ensure accurate current inventory for each Select Agent (including viral genetic elements, recombinant nucleic acids, and recombinant organisms) held in long term storage and all agents stored in BSL-3 labs.</w:t>
      </w:r>
    </w:p>
    <w:p w14:paraId="042DB670" w14:textId="77777777" w:rsidR="00980B2A" w:rsidRPr="008835FA" w:rsidRDefault="00980B2A"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t>Research Development and Compliance (RD&amp;C)</w:t>
      </w:r>
    </w:p>
    <w:p w14:paraId="68BC9CA2" w14:textId="4C75AB8A" w:rsidR="00980B2A" w:rsidRPr="00275D53" w:rsidRDefault="00980B2A" w:rsidP="000A313A">
      <w:pPr>
        <w:pStyle w:val="ListParagraph"/>
        <w:numPr>
          <w:ilvl w:val="0"/>
          <w:numId w:val="29"/>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Initiates the registration of biological research (IBC Application process) by providing departments with </w:t>
      </w:r>
      <w:r w:rsidR="00C43930" w:rsidRPr="00275D53">
        <w:rPr>
          <w:rFonts w:eastAsia="Calibri" w:cs="Times New Roman"/>
          <w:kern w:val="0"/>
          <w:sz w:val="22"/>
          <w:szCs w:val="22"/>
          <w14:ligatures w14:val="none"/>
        </w:rPr>
        <w:t>application</w:t>
      </w:r>
      <w:r w:rsidRPr="00275D53">
        <w:rPr>
          <w:rFonts w:eastAsia="Calibri" w:cs="Times New Roman"/>
          <w:kern w:val="0"/>
          <w:sz w:val="22"/>
          <w:szCs w:val="22"/>
          <w14:ligatures w14:val="none"/>
        </w:rPr>
        <w:t xml:space="preserve"> material.</w:t>
      </w:r>
    </w:p>
    <w:p w14:paraId="26D1EAAA" w14:textId="6FEF2EE4" w:rsidR="00980B2A" w:rsidRPr="00275D53" w:rsidRDefault="00980B2A" w:rsidP="000A313A">
      <w:pPr>
        <w:pStyle w:val="ListParagraph"/>
        <w:numPr>
          <w:ilvl w:val="0"/>
          <w:numId w:val="29"/>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Accepts all applications and annual reviews for research proposals submitted by Principal Investigators and departments and coordinates their review by </w:t>
      </w:r>
      <w:r w:rsidR="00C43930" w:rsidRPr="00275D53">
        <w:rPr>
          <w:rFonts w:eastAsia="Calibri" w:cs="Times New Roman"/>
          <w:kern w:val="0"/>
          <w:sz w:val="22"/>
          <w:szCs w:val="22"/>
          <w14:ligatures w14:val="none"/>
        </w:rPr>
        <w:t>IBC</w:t>
      </w:r>
      <w:r w:rsidRPr="00275D53">
        <w:rPr>
          <w:rFonts w:eastAsia="Calibri" w:cs="Times New Roman"/>
          <w:kern w:val="0"/>
          <w:sz w:val="22"/>
          <w:szCs w:val="22"/>
          <w14:ligatures w14:val="none"/>
        </w:rPr>
        <w:t>.</w:t>
      </w:r>
    </w:p>
    <w:p w14:paraId="5E24403E" w14:textId="77777777" w:rsidR="00980B2A" w:rsidRPr="00275D53" w:rsidRDefault="00980B2A" w:rsidP="000A313A">
      <w:pPr>
        <w:pStyle w:val="ListParagraph"/>
        <w:numPr>
          <w:ilvl w:val="0"/>
          <w:numId w:val="29"/>
        </w:numPr>
        <w:rPr>
          <w:rFonts w:eastAsia="Calibri" w:cs="Times New Roman"/>
          <w:kern w:val="0"/>
          <w:sz w:val="22"/>
          <w:szCs w:val="22"/>
          <w14:ligatures w14:val="none"/>
        </w:rPr>
      </w:pPr>
      <w:r w:rsidRPr="00275D53">
        <w:rPr>
          <w:rFonts w:eastAsia="Calibri" w:cs="Times New Roman"/>
          <w:kern w:val="0"/>
          <w:sz w:val="22"/>
          <w:szCs w:val="22"/>
          <w14:ligatures w14:val="none"/>
        </w:rPr>
        <w:t>Accepts research proposals involving the use of humans and coordinates their review by the Institutional Review Board (IRB).</w:t>
      </w:r>
    </w:p>
    <w:p w14:paraId="2950D42A" w14:textId="77777777" w:rsidR="00980B2A" w:rsidRPr="008835FA" w:rsidRDefault="00980B2A"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t>Laboratory and Research Safety Officer (LRSO)</w:t>
      </w:r>
    </w:p>
    <w:p w14:paraId="1CE825CD" w14:textId="6DFD316F" w:rsidR="00980B2A" w:rsidRPr="008835FA" w:rsidRDefault="00980B2A" w:rsidP="008835FA">
      <w:pPr>
        <w:rPr>
          <w:rFonts w:eastAsia="Calibri" w:cs="Times New Roman"/>
          <w:iCs/>
          <w:kern w:val="0"/>
          <w:sz w:val="22"/>
          <w:szCs w:val="22"/>
          <w14:ligatures w14:val="none"/>
        </w:rPr>
      </w:pPr>
      <w:r w:rsidRPr="008835FA">
        <w:rPr>
          <w:rFonts w:eastAsia="Calibri" w:cs="Times New Roman"/>
          <w:iCs/>
          <w:kern w:val="0"/>
          <w:sz w:val="22"/>
          <w:szCs w:val="22"/>
          <w14:ligatures w14:val="none"/>
        </w:rPr>
        <w:t>The Laboratory and Research Safety Officer provides expertise in developing the UND Biosafety Program and supports BSL-1</w:t>
      </w:r>
      <w:r w:rsidR="00E637BF">
        <w:rPr>
          <w:rFonts w:eastAsia="Calibri" w:cs="Times New Roman"/>
          <w:iCs/>
          <w:kern w:val="0"/>
          <w:sz w:val="22"/>
          <w:szCs w:val="22"/>
          <w14:ligatures w14:val="none"/>
        </w:rPr>
        <w:t>,</w:t>
      </w:r>
      <w:r w:rsidRPr="008835FA">
        <w:rPr>
          <w:rFonts w:eastAsia="Calibri" w:cs="Times New Roman"/>
          <w:iCs/>
          <w:kern w:val="0"/>
          <w:sz w:val="22"/>
          <w:szCs w:val="22"/>
          <w14:ligatures w14:val="none"/>
        </w:rPr>
        <w:t xml:space="preserve"> BSL-2</w:t>
      </w:r>
      <w:r w:rsidR="00E637BF">
        <w:rPr>
          <w:rFonts w:eastAsia="Calibri" w:cs="Times New Roman"/>
          <w:iCs/>
          <w:kern w:val="0"/>
          <w:sz w:val="22"/>
          <w:szCs w:val="22"/>
          <w14:ligatures w14:val="none"/>
        </w:rPr>
        <w:t xml:space="preserve"> </w:t>
      </w:r>
      <w:r w:rsidR="00CA1830">
        <w:rPr>
          <w:rFonts w:eastAsia="Calibri" w:cs="Times New Roman"/>
          <w:iCs/>
          <w:kern w:val="0"/>
          <w:sz w:val="22"/>
          <w:szCs w:val="22"/>
          <w14:ligatures w14:val="none"/>
        </w:rPr>
        <w:t>l</w:t>
      </w:r>
      <w:r w:rsidRPr="008835FA">
        <w:rPr>
          <w:rFonts w:eastAsia="Calibri" w:cs="Times New Roman"/>
          <w:iCs/>
          <w:kern w:val="0"/>
          <w:sz w:val="22"/>
          <w:szCs w:val="22"/>
          <w14:ligatures w14:val="none"/>
        </w:rPr>
        <w:t>aboratories and ABSL-1, ABSL-2</w:t>
      </w:r>
      <w:r w:rsidR="00CA1830">
        <w:rPr>
          <w:rFonts w:eastAsia="Calibri" w:cs="Times New Roman"/>
          <w:iCs/>
          <w:kern w:val="0"/>
          <w:sz w:val="22"/>
          <w:szCs w:val="22"/>
          <w14:ligatures w14:val="none"/>
        </w:rPr>
        <w:t xml:space="preserve"> </w:t>
      </w:r>
      <w:r w:rsidRPr="008835FA">
        <w:rPr>
          <w:rFonts w:eastAsia="Calibri" w:cs="Times New Roman"/>
          <w:iCs/>
          <w:kern w:val="0"/>
          <w:sz w:val="22"/>
          <w:szCs w:val="22"/>
          <w14:ligatures w14:val="none"/>
        </w:rPr>
        <w:t xml:space="preserve">spaces. The LRSO develops, implements, and updates biosafety policies, and procedures that are necessary for an effective, compliant, and effective biosafety program. </w:t>
      </w:r>
    </w:p>
    <w:p w14:paraId="10FEFB73" w14:textId="77777777" w:rsidR="00980B2A" w:rsidRPr="00275D53" w:rsidRDefault="00980B2A" w:rsidP="008835FA">
      <w:pPr>
        <w:rPr>
          <w:rFonts w:eastAsia="Calibri" w:cs="Times New Roman"/>
          <w:bCs/>
          <w:iCs/>
          <w:kern w:val="0"/>
          <w:sz w:val="22"/>
          <w:szCs w:val="22"/>
          <w14:ligatures w14:val="none"/>
        </w:rPr>
      </w:pPr>
      <w:r w:rsidRPr="00275D53">
        <w:rPr>
          <w:rFonts w:eastAsia="Calibri" w:cs="Times New Roman"/>
          <w:bCs/>
          <w:iCs/>
          <w:kern w:val="0"/>
          <w:sz w:val="22"/>
          <w:szCs w:val="22"/>
          <w14:ligatures w14:val="none"/>
        </w:rPr>
        <w:t>The LRSO plays an important role in:</w:t>
      </w:r>
    </w:p>
    <w:p w14:paraId="21011351" w14:textId="77777777" w:rsidR="00980B2A" w:rsidRPr="00275D53" w:rsidRDefault="00980B2A" w:rsidP="000A313A">
      <w:pPr>
        <w:pStyle w:val="ListParagraph"/>
        <w:numPr>
          <w:ilvl w:val="0"/>
          <w:numId w:val="30"/>
        </w:numPr>
        <w:rPr>
          <w:rFonts w:eastAsia="Calibri" w:cs="Times New Roman"/>
          <w:iCs/>
          <w:kern w:val="0"/>
          <w:sz w:val="22"/>
          <w:szCs w:val="22"/>
          <w14:ligatures w14:val="none"/>
        </w:rPr>
      </w:pPr>
      <w:r w:rsidRPr="00275D53">
        <w:rPr>
          <w:rFonts w:eastAsia="Calibri" w:cs="Times New Roman"/>
          <w:iCs/>
          <w:kern w:val="0"/>
          <w:sz w:val="22"/>
          <w:szCs w:val="22"/>
          <w14:ligatures w14:val="none"/>
        </w:rPr>
        <w:t>Providing technical support to the IBC, and PIs on campus as well as working closely with researchers to provide necessary training on biosafety procedures and proper use of containment equipment.</w:t>
      </w:r>
    </w:p>
    <w:p w14:paraId="414EC82B" w14:textId="77777777" w:rsidR="00980B2A" w:rsidRPr="00275D53" w:rsidRDefault="00980B2A" w:rsidP="000A313A">
      <w:pPr>
        <w:pStyle w:val="ListParagraph"/>
        <w:numPr>
          <w:ilvl w:val="0"/>
          <w:numId w:val="30"/>
        </w:numPr>
        <w:rPr>
          <w:rFonts w:eastAsia="Calibri" w:cs="Times New Roman"/>
          <w:iCs/>
          <w:kern w:val="0"/>
          <w:sz w:val="22"/>
          <w:szCs w:val="22"/>
          <w14:ligatures w14:val="none"/>
        </w:rPr>
      </w:pPr>
      <w:r w:rsidRPr="00275D53">
        <w:rPr>
          <w:rFonts w:eastAsia="Calibri" w:cs="Times New Roman"/>
          <w:kern w:val="0"/>
          <w:sz w:val="22"/>
          <w:szCs w:val="22"/>
          <w14:ligatures w14:val="none"/>
        </w:rPr>
        <w:t>Conducting periodic laboratory inspections of all areas on campus involved in research utilizing biohazardous agents to assure appropriate safety controls, containment, and compliance.</w:t>
      </w:r>
    </w:p>
    <w:p w14:paraId="0661E6E0" w14:textId="333F6DBC" w:rsidR="00980B2A" w:rsidRPr="00275D53" w:rsidRDefault="00980B2A" w:rsidP="000A313A">
      <w:pPr>
        <w:pStyle w:val="ListParagraph"/>
        <w:numPr>
          <w:ilvl w:val="0"/>
          <w:numId w:val="30"/>
        </w:numPr>
        <w:rPr>
          <w:rFonts w:eastAsia="Calibri" w:cs="Times New Roman"/>
          <w:iCs/>
          <w:kern w:val="0"/>
          <w:sz w:val="22"/>
          <w:szCs w:val="22"/>
          <w14:ligatures w14:val="none"/>
        </w:rPr>
      </w:pPr>
      <w:r w:rsidRPr="00275D53">
        <w:rPr>
          <w:rFonts w:eastAsia="Calibri" w:cs="Times New Roman"/>
          <w:kern w:val="0"/>
          <w:sz w:val="22"/>
          <w:szCs w:val="22"/>
          <w14:ligatures w14:val="none"/>
        </w:rPr>
        <w:lastRenderedPageBreak/>
        <w:t xml:space="preserve">Review activities and facilities for proper biohazard control; apply relevant laws, </w:t>
      </w:r>
      <w:r w:rsidR="00B267E9" w:rsidRPr="00275D53">
        <w:rPr>
          <w:rFonts w:eastAsia="Calibri" w:cs="Times New Roman"/>
          <w:kern w:val="0"/>
          <w:sz w:val="22"/>
          <w:szCs w:val="22"/>
          <w14:ligatures w14:val="none"/>
        </w:rPr>
        <w:t>standards,</w:t>
      </w:r>
      <w:r w:rsidRPr="00275D53">
        <w:rPr>
          <w:rFonts w:eastAsia="Calibri" w:cs="Times New Roman"/>
          <w:kern w:val="0"/>
          <w:sz w:val="22"/>
          <w:szCs w:val="22"/>
          <w14:ligatures w14:val="none"/>
        </w:rPr>
        <w:t xml:space="preserve"> and guidelines; and be aware of community attitudes and health and environmental considerations.</w:t>
      </w:r>
    </w:p>
    <w:p w14:paraId="74E2DD43" w14:textId="77777777" w:rsidR="00980B2A" w:rsidRPr="00275D53" w:rsidRDefault="00980B2A" w:rsidP="000A313A">
      <w:pPr>
        <w:pStyle w:val="ListParagraph"/>
        <w:numPr>
          <w:ilvl w:val="0"/>
          <w:numId w:val="30"/>
        </w:numPr>
        <w:rPr>
          <w:rFonts w:eastAsia="Calibri" w:cs="Times New Roman"/>
          <w:iCs/>
          <w:kern w:val="0"/>
          <w:sz w:val="22"/>
          <w:szCs w:val="22"/>
          <w14:ligatures w14:val="none"/>
        </w:rPr>
      </w:pPr>
      <w:r w:rsidRPr="00275D53">
        <w:rPr>
          <w:rFonts w:eastAsia="Calibri" w:cs="Times New Roman"/>
          <w:kern w:val="0"/>
          <w:sz w:val="22"/>
          <w:szCs w:val="22"/>
          <w14:ligatures w14:val="none"/>
        </w:rPr>
        <w:t>Report any significant problems, trends and/or violations of regulations or policies and practices to the IBC and appropriate management.</w:t>
      </w:r>
    </w:p>
    <w:p w14:paraId="3E4F54E4" w14:textId="77777777" w:rsidR="00980B2A" w:rsidRPr="00275D53" w:rsidRDefault="00980B2A" w:rsidP="000A313A">
      <w:pPr>
        <w:pStyle w:val="ListParagraph"/>
        <w:numPr>
          <w:ilvl w:val="0"/>
          <w:numId w:val="30"/>
        </w:numPr>
        <w:rPr>
          <w:rFonts w:eastAsia="Calibri" w:cs="Times New Roman"/>
          <w:iCs/>
          <w:kern w:val="0"/>
          <w:sz w:val="22"/>
          <w:szCs w:val="22"/>
          <w14:ligatures w14:val="none"/>
        </w:rPr>
      </w:pPr>
      <w:r w:rsidRPr="00275D53">
        <w:rPr>
          <w:rFonts w:eastAsia="Calibri" w:cs="Times New Roman"/>
          <w:kern w:val="0"/>
          <w:sz w:val="22"/>
          <w:szCs w:val="22"/>
          <w14:ligatures w14:val="none"/>
        </w:rPr>
        <w:t>Take measures necessary to ensure that all biohazardous activities comply with the policies and practices established by the IBC.</w:t>
      </w:r>
    </w:p>
    <w:p w14:paraId="04788AEB" w14:textId="77777777" w:rsidR="00980B2A" w:rsidRPr="00275D53" w:rsidRDefault="00980B2A" w:rsidP="000A313A">
      <w:pPr>
        <w:pStyle w:val="ListParagraph"/>
        <w:numPr>
          <w:ilvl w:val="0"/>
          <w:numId w:val="30"/>
        </w:numPr>
        <w:rPr>
          <w:rFonts w:eastAsia="Calibri" w:cs="Times New Roman"/>
          <w:iCs/>
          <w:kern w:val="0"/>
          <w:sz w:val="22"/>
          <w:szCs w:val="22"/>
          <w14:ligatures w14:val="none"/>
        </w:rPr>
      </w:pPr>
      <w:r w:rsidRPr="00275D53">
        <w:rPr>
          <w:rFonts w:eastAsia="Calibri" w:cs="Times New Roman"/>
          <w:bCs/>
          <w:kern w:val="0"/>
          <w:sz w:val="22"/>
          <w:szCs w:val="22"/>
          <w14:ligatures w14:val="none"/>
        </w:rPr>
        <w:t>When accidents, exposures, or spills happen in the Lab, Office of Safety and the LRSO also respond to, investigate, and follow up with suggestions and strategies for a resolution to prevent reoccurrences.</w:t>
      </w:r>
    </w:p>
    <w:p w14:paraId="103382DC" w14:textId="77777777" w:rsidR="00980B2A" w:rsidRPr="008835FA" w:rsidRDefault="00980B2A"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t xml:space="preserve">Office of Safety </w:t>
      </w:r>
    </w:p>
    <w:p w14:paraId="232FE506" w14:textId="77777777" w:rsidR="00980B2A" w:rsidRPr="008835FA" w:rsidRDefault="00980B2A" w:rsidP="008835FA">
      <w:pPr>
        <w:rPr>
          <w:rFonts w:eastAsia="Calibri" w:cs="Times New Roman"/>
          <w:kern w:val="0"/>
          <w:sz w:val="22"/>
          <w:szCs w:val="22"/>
          <w14:ligatures w14:val="none"/>
        </w:rPr>
      </w:pPr>
      <w:r w:rsidRPr="008835FA">
        <w:rPr>
          <w:rFonts w:eastAsia="Calibri" w:cs="Times New Roman"/>
          <w:kern w:val="0"/>
          <w:sz w:val="22"/>
          <w:szCs w:val="22"/>
          <w14:ligatures w14:val="none"/>
        </w:rPr>
        <w:t xml:space="preserve">The Office of Safety works closely with the IBC to ensure that operations for which Office of Safety has responsibility are conducted in accordance with the criteria and guidelines established by the IBC. These include: </w:t>
      </w:r>
    </w:p>
    <w:p w14:paraId="7F71EC5F" w14:textId="77777777" w:rsidR="00980B2A" w:rsidRPr="00275D53" w:rsidRDefault="00980B2A" w:rsidP="000A313A">
      <w:pPr>
        <w:pStyle w:val="ListParagraph"/>
        <w:numPr>
          <w:ilvl w:val="0"/>
          <w:numId w:val="31"/>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Disposal of medical waste. </w:t>
      </w:r>
    </w:p>
    <w:p w14:paraId="5085E681" w14:textId="41C48AB9" w:rsidR="00980B2A" w:rsidRPr="00275D53" w:rsidRDefault="00980B2A" w:rsidP="000A313A">
      <w:pPr>
        <w:pStyle w:val="ListParagraph"/>
        <w:numPr>
          <w:ilvl w:val="0"/>
          <w:numId w:val="31"/>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Selection of appropriate protective clothing for individuals working with hazards, including </w:t>
      </w:r>
      <w:r w:rsidR="00C43930" w:rsidRPr="00275D53">
        <w:rPr>
          <w:rFonts w:eastAsia="Calibri" w:cs="Times New Roman"/>
          <w:kern w:val="0"/>
          <w:sz w:val="22"/>
          <w:szCs w:val="22"/>
          <w14:ligatures w14:val="none"/>
        </w:rPr>
        <w:t>biohazardous</w:t>
      </w:r>
      <w:r w:rsidRPr="00275D53">
        <w:rPr>
          <w:rFonts w:eastAsia="Calibri" w:cs="Times New Roman"/>
          <w:kern w:val="0"/>
          <w:sz w:val="22"/>
          <w:szCs w:val="22"/>
          <w14:ligatures w14:val="none"/>
        </w:rPr>
        <w:t xml:space="preserve"> materials. </w:t>
      </w:r>
    </w:p>
    <w:p w14:paraId="3BE8D594" w14:textId="77777777" w:rsidR="00980B2A" w:rsidRPr="00275D53" w:rsidRDefault="00980B2A" w:rsidP="000A313A">
      <w:pPr>
        <w:pStyle w:val="ListParagraph"/>
        <w:numPr>
          <w:ilvl w:val="0"/>
          <w:numId w:val="31"/>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Development and implementation of emergency response and preparedness plans. </w:t>
      </w:r>
    </w:p>
    <w:p w14:paraId="6E566C20" w14:textId="77777777" w:rsidR="00980B2A" w:rsidRPr="00275D53" w:rsidRDefault="00980B2A" w:rsidP="000A313A">
      <w:pPr>
        <w:pStyle w:val="ListParagraph"/>
        <w:numPr>
          <w:ilvl w:val="0"/>
          <w:numId w:val="31"/>
        </w:numPr>
        <w:rPr>
          <w:rFonts w:eastAsia="Calibri" w:cs="Times New Roman"/>
          <w:kern w:val="0"/>
          <w:sz w:val="22"/>
          <w:szCs w:val="22"/>
          <w14:ligatures w14:val="none"/>
        </w:rPr>
      </w:pPr>
      <w:r w:rsidRPr="00275D53">
        <w:rPr>
          <w:rFonts w:eastAsia="Calibri" w:cs="Times New Roman"/>
          <w:kern w:val="0"/>
          <w:sz w:val="22"/>
          <w:szCs w:val="22"/>
          <w14:ligatures w14:val="none"/>
        </w:rPr>
        <w:t>Monitoring work areas, including the presence of allergens.</w:t>
      </w:r>
    </w:p>
    <w:p w14:paraId="14798E83" w14:textId="77777777" w:rsidR="00980B2A" w:rsidRPr="008835FA" w:rsidRDefault="00980B2A" w:rsidP="008835FA">
      <w:pPr>
        <w:rPr>
          <w:rFonts w:eastAsia="Calibri" w:cs="Times New Roman"/>
          <w:b/>
          <w:kern w:val="0"/>
          <w:sz w:val="22"/>
          <w:szCs w:val="22"/>
          <w14:ligatures w14:val="none"/>
        </w:rPr>
      </w:pPr>
      <w:bookmarkStart w:id="10" w:name="_Hlk182471248"/>
      <w:r w:rsidRPr="008835FA">
        <w:rPr>
          <w:rFonts w:eastAsia="Calibri" w:cs="Times New Roman"/>
          <w:b/>
          <w:kern w:val="0"/>
          <w:sz w:val="22"/>
          <w:szCs w:val="22"/>
          <w14:ligatures w14:val="none"/>
        </w:rPr>
        <w:t>Deans, Directors, Chairpersons</w:t>
      </w:r>
    </w:p>
    <w:bookmarkEnd w:id="10"/>
    <w:p w14:paraId="76495C2E" w14:textId="26B98E4B" w:rsidR="00980B2A" w:rsidRPr="008835FA" w:rsidRDefault="00980B2A" w:rsidP="008835FA">
      <w:pPr>
        <w:rPr>
          <w:rFonts w:eastAsia="Calibri" w:cs="Times New Roman"/>
          <w:i/>
          <w:iCs/>
          <w:kern w:val="0"/>
          <w:sz w:val="22"/>
          <w:szCs w:val="22"/>
          <w14:ligatures w14:val="none"/>
        </w:rPr>
      </w:pPr>
      <w:r w:rsidRPr="008835FA">
        <w:rPr>
          <w:rFonts w:eastAsia="Calibri" w:cs="Times New Roman"/>
          <w:kern w:val="0"/>
          <w:sz w:val="22"/>
          <w:szCs w:val="22"/>
          <w14:ligatures w14:val="none"/>
        </w:rPr>
        <w:t>Deans, Directors, and Chairpersons are responsible for all the students, employees, and visitors in the spaces under their control. They must be aware of what research is happening in these spaces, the risks associated with that research, and the control methods proposed by the PIs.</w:t>
      </w:r>
    </w:p>
    <w:p w14:paraId="1BF56214" w14:textId="77777777" w:rsidR="00980B2A" w:rsidRPr="008835FA" w:rsidRDefault="00980B2A"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t xml:space="preserve">Licensed Healthcare Provider </w:t>
      </w:r>
    </w:p>
    <w:p w14:paraId="2FC05F2D" w14:textId="77777777" w:rsidR="00980B2A" w:rsidRPr="00275D53" w:rsidRDefault="00980B2A" w:rsidP="000A313A">
      <w:pPr>
        <w:pStyle w:val="ListParagraph"/>
        <w:numPr>
          <w:ilvl w:val="0"/>
          <w:numId w:val="32"/>
        </w:numPr>
        <w:rPr>
          <w:rFonts w:eastAsia="Calibri" w:cs="Times New Roman"/>
          <w:kern w:val="0"/>
          <w:sz w:val="22"/>
          <w:szCs w:val="22"/>
          <w14:ligatures w14:val="none"/>
        </w:rPr>
      </w:pPr>
      <w:r w:rsidRPr="00275D53">
        <w:rPr>
          <w:rFonts w:eastAsia="Calibri" w:cs="Times New Roman"/>
          <w:kern w:val="0"/>
          <w:sz w:val="22"/>
          <w:szCs w:val="22"/>
          <w14:ligatures w14:val="none"/>
        </w:rPr>
        <w:t>Advises on need for medical surveillance and/or immunization for those personnel exposed or potentially exposed to biohazardous agents.</w:t>
      </w:r>
    </w:p>
    <w:p w14:paraId="021006E3" w14:textId="7CFC98AD" w:rsidR="00980B2A" w:rsidRPr="00275D53" w:rsidRDefault="00980B2A" w:rsidP="000A313A">
      <w:pPr>
        <w:pStyle w:val="ListParagraph"/>
        <w:numPr>
          <w:ilvl w:val="0"/>
          <w:numId w:val="32"/>
        </w:numPr>
        <w:rPr>
          <w:rFonts w:eastAsia="Calibri" w:cs="Times New Roman"/>
          <w:kern w:val="0"/>
          <w:sz w:val="22"/>
          <w:szCs w:val="22"/>
          <w14:ligatures w14:val="none"/>
        </w:rPr>
      </w:pPr>
      <w:r w:rsidRPr="00275D53">
        <w:rPr>
          <w:rFonts w:eastAsia="Calibri" w:cs="Times New Roman"/>
          <w:kern w:val="0"/>
          <w:sz w:val="22"/>
          <w:szCs w:val="22"/>
          <w14:ligatures w14:val="none"/>
        </w:rPr>
        <w:t>Provides medical review and medical surveillance, as appropriate, for live virus</w:t>
      </w:r>
      <w:r w:rsidR="00E637BF">
        <w:rPr>
          <w:rFonts w:eastAsia="Calibri" w:cs="Times New Roman"/>
          <w:kern w:val="0"/>
          <w:sz w:val="22"/>
          <w:szCs w:val="22"/>
          <w14:ligatures w14:val="none"/>
        </w:rPr>
        <w:t xml:space="preserve"> or bacterial</w:t>
      </w:r>
      <w:r w:rsidRPr="00275D53">
        <w:rPr>
          <w:rFonts w:eastAsia="Calibri" w:cs="Times New Roman"/>
          <w:kern w:val="0"/>
          <w:sz w:val="22"/>
          <w:szCs w:val="22"/>
          <w14:ligatures w14:val="none"/>
        </w:rPr>
        <w:t xml:space="preserve"> workers, those exposed to laboratory animals, and those in the BBP Program.</w:t>
      </w:r>
    </w:p>
    <w:p w14:paraId="54D23D31" w14:textId="77777777" w:rsidR="00980B2A" w:rsidRPr="008835FA" w:rsidRDefault="00980B2A"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t xml:space="preserve">Director of Center of Biomedical Research </w:t>
      </w:r>
    </w:p>
    <w:p w14:paraId="20827398" w14:textId="77777777" w:rsidR="00980B2A" w:rsidRPr="00275D53" w:rsidRDefault="00980B2A" w:rsidP="000A313A">
      <w:pPr>
        <w:pStyle w:val="ListParagraph"/>
        <w:numPr>
          <w:ilvl w:val="0"/>
          <w:numId w:val="33"/>
        </w:numPr>
        <w:rPr>
          <w:rFonts w:eastAsia="Calibri" w:cs="Times New Roman"/>
          <w:kern w:val="0"/>
          <w:sz w:val="22"/>
          <w:szCs w:val="22"/>
          <w14:ligatures w14:val="none"/>
        </w:rPr>
      </w:pPr>
      <w:r w:rsidRPr="00275D53">
        <w:rPr>
          <w:rFonts w:eastAsia="Calibri" w:cs="Times New Roman"/>
          <w:kern w:val="0"/>
          <w:sz w:val="22"/>
          <w:szCs w:val="22"/>
          <w14:ligatures w14:val="none"/>
        </w:rPr>
        <w:t>Advises investigators and animal care personnel on the potential biohazards and risk of physical injury associated with laboratory animals and on the procedures for reducing or eliminating exposure.</w:t>
      </w:r>
    </w:p>
    <w:p w14:paraId="47994C2F" w14:textId="77777777" w:rsidR="00980B2A" w:rsidRPr="00275D53" w:rsidRDefault="00980B2A" w:rsidP="000A313A">
      <w:pPr>
        <w:pStyle w:val="ListParagraph"/>
        <w:numPr>
          <w:ilvl w:val="0"/>
          <w:numId w:val="33"/>
        </w:numPr>
        <w:rPr>
          <w:rFonts w:eastAsia="Calibri" w:cs="Times New Roman"/>
          <w:kern w:val="0"/>
          <w:sz w:val="22"/>
          <w:szCs w:val="22"/>
          <w14:ligatures w14:val="none"/>
        </w:rPr>
      </w:pPr>
      <w:r w:rsidRPr="00275D53">
        <w:rPr>
          <w:rFonts w:eastAsia="Calibri" w:cs="Times New Roman"/>
          <w:kern w:val="0"/>
          <w:sz w:val="22"/>
          <w:szCs w:val="22"/>
          <w14:ligatures w14:val="none"/>
        </w:rPr>
        <w:t>Provides training to all animal users in safe animal handling and experimental procedures.</w:t>
      </w:r>
    </w:p>
    <w:p w14:paraId="7EF97452" w14:textId="77777777" w:rsidR="00980B2A" w:rsidRPr="008835FA" w:rsidRDefault="00980B2A"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t>Other committees (IRB, IACUC, Radiation Safety and Hazardous Materials Committee)</w:t>
      </w:r>
    </w:p>
    <w:p w14:paraId="42F07077" w14:textId="60263030" w:rsidR="00980B2A" w:rsidRPr="00275D53" w:rsidRDefault="00980B2A" w:rsidP="000A313A">
      <w:pPr>
        <w:pStyle w:val="ListParagraph"/>
        <w:numPr>
          <w:ilvl w:val="0"/>
          <w:numId w:val="34"/>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Consults and coordinates with the IBC on any proposals under their purview which </w:t>
      </w:r>
      <w:r w:rsidR="00353560" w:rsidRPr="00275D53">
        <w:rPr>
          <w:rFonts w:eastAsia="Calibri" w:cs="Times New Roman"/>
          <w:kern w:val="0"/>
          <w:sz w:val="22"/>
          <w:szCs w:val="22"/>
          <w14:ligatures w14:val="none"/>
        </w:rPr>
        <w:t>involve</w:t>
      </w:r>
      <w:r w:rsidRPr="00275D53">
        <w:rPr>
          <w:rFonts w:eastAsia="Calibri" w:cs="Times New Roman"/>
          <w:kern w:val="0"/>
          <w:sz w:val="22"/>
          <w:szCs w:val="22"/>
          <w14:ligatures w14:val="none"/>
        </w:rPr>
        <w:t xml:space="preserve"> the use of potentially biohazardous materials or activities.</w:t>
      </w:r>
    </w:p>
    <w:p w14:paraId="236515B3" w14:textId="0218D393" w:rsidR="00980B2A" w:rsidRPr="00275D53" w:rsidRDefault="00980B2A" w:rsidP="000A313A">
      <w:pPr>
        <w:pStyle w:val="ListParagraph"/>
        <w:numPr>
          <w:ilvl w:val="0"/>
          <w:numId w:val="35"/>
        </w:numPr>
        <w:rPr>
          <w:rFonts w:eastAsia="Calibri" w:cs="Times New Roman"/>
          <w:b/>
          <w:i/>
          <w:kern w:val="0"/>
          <w:sz w:val="22"/>
          <w:szCs w:val="22"/>
          <w14:ligatures w14:val="none"/>
        </w:rPr>
      </w:pPr>
      <w:r w:rsidRPr="00275D53">
        <w:rPr>
          <w:rFonts w:eastAsia="Calibri" w:cs="Times New Roman"/>
          <w:b/>
          <w:i/>
          <w:kern w:val="0"/>
          <w:sz w:val="22"/>
          <w:szCs w:val="22"/>
          <w14:ligatures w14:val="none"/>
        </w:rPr>
        <w:lastRenderedPageBreak/>
        <w:t xml:space="preserve">Failure of any personnel to </w:t>
      </w:r>
      <w:r w:rsidR="00E637BF">
        <w:rPr>
          <w:rFonts w:eastAsia="Calibri" w:cs="Times New Roman"/>
          <w:b/>
          <w:i/>
          <w:kern w:val="0"/>
          <w:sz w:val="22"/>
          <w:szCs w:val="22"/>
          <w14:ligatures w14:val="none"/>
        </w:rPr>
        <w:t>participate in and/or enforce</w:t>
      </w:r>
      <w:r w:rsidRPr="00275D53">
        <w:rPr>
          <w:rFonts w:eastAsia="Calibri" w:cs="Times New Roman"/>
          <w:b/>
          <w:i/>
          <w:kern w:val="0"/>
          <w:sz w:val="22"/>
          <w:szCs w:val="22"/>
          <w14:ligatures w14:val="none"/>
        </w:rPr>
        <w:t xml:space="preserve"> </w:t>
      </w:r>
      <w:r w:rsidR="00E637BF">
        <w:rPr>
          <w:rFonts w:eastAsia="Calibri" w:cs="Times New Roman"/>
          <w:b/>
          <w:i/>
          <w:kern w:val="0"/>
          <w:sz w:val="22"/>
          <w:szCs w:val="22"/>
          <w14:ligatures w14:val="none"/>
        </w:rPr>
        <w:t>their</w:t>
      </w:r>
      <w:r w:rsidRPr="00275D53">
        <w:rPr>
          <w:rFonts w:eastAsia="Calibri" w:cs="Times New Roman"/>
          <w:b/>
          <w:i/>
          <w:kern w:val="0"/>
          <w:sz w:val="22"/>
          <w:szCs w:val="22"/>
          <w14:ligatures w14:val="none"/>
        </w:rPr>
        <w:t xml:space="preserve"> responsibilit</w:t>
      </w:r>
      <w:r w:rsidR="00E637BF">
        <w:rPr>
          <w:rFonts w:eastAsia="Calibri" w:cs="Times New Roman"/>
          <w:b/>
          <w:i/>
          <w:kern w:val="0"/>
          <w:sz w:val="22"/>
          <w:szCs w:val="22"/>
          <w14:ligatures w14:val="none"/>
        </w:rPr>
        <w:t>ies</w:t>
      </w:r>
      <w:r w:rsidRPr="00275D53">
        <w:rPr>
          <w:rFonts w:eastAsia="Calibri" w:cs="Times New Roman"/>
          <w:b/>
          <w:i/>
          <w:kern w:val="0"/>
          <w:sz w:val="22"/>
          <w:szCs w:val="22"/>
          <w14:ligatures w14:val="none"/>
        </w:rPr>
        <w:t xml:space="preserve"> </w:t>
      </w:r>
      <w:r w:rsidR="00E637BF">
        <w:rPr>
          <w:rFonts w:eastAsia="Calibri" w:cs="Times New Roman"/>
          <w:b/>
          <w:i/>
          <w:kern w:val="0"/>
          <w:sz w:val="22"/>
          <w:szCs w:val="22"/>
          <w14:ligatures w14:val="none"/>
        </w:rPr>
        <w:t xml:space="preserve">as described above </w:t>
      </w:r>
      <w:r w:rsidRPr="00275D53">
        <w:rPr>
          <w:rFonts w:eastAsia="Calibri" w:cs="Times New Roman"/>
          <w:b/>
          <w:i/>
          <w:kern w:val="0"/>
          <w:sz w:val="22"/>
          <w:szCs w:val="22"/>
          <w14:ligatures w14:val="none"/>
        </w:rPr>
        <w:t>or to comply with established procedures is cause for disciplinary action.</w:t>
      </w:r>
    </w:p>
    <w:p w14:paraId="2DA6096A" w14:textId="77777777" w:rsidR="00F612AB" w:rsidRPr="00737D63" w:rsidRDefault="00F612AB" w:rsidP="008835FA">
      <w:pPr>
        <w:rPr>
          <w:rFonts w:eastAsia="Calibri" w:cs="Times New Roman"/>
          <w:b/>
          <w:kern w:val="0"/>
          <w:sz w:val="22"/>
          <w:szCs w:val="22"/>
          <w:u w:val="single"/>
          <w14:ligatures w14:val="none"/>
        </w:rPr>
      </w:pPr>
    </w:p>
    <w:p w14:paraId="6C5B103D" w14:textId="0C302271" w:rsidR="00980B2A" w:rsidRPr="00886C31" w:rsidRDefault="00980B2A" w:rsidP="008835FA">
      <w:pPr>
        <w:rPr>
          <w:rFonts w:eastAsia="Calibri" w:cs="Times New Roman"/>
          <w:b/>
          <w:kern w:val="0"/>
          <w:u w:val="single"/>
          <w14:ligatures w14:val="none"/>
        </w:rPr>
      </w:pPr>
      <w:bookmarkStart w:id="11" w:name="RulesRegulationsandGuidelines"/>
      <w:r w:rsidRPr="00886C31">
        <w:rPr>
          <w:rFonts w:eastAsia="Calibri" w:cs="Times New Roman"/>
          <w:b/>
          <w:kern w:val="0"/>
          <w:u w:val="single"/>
          <w14:ligatures w14:val="none"/>
        </w:rPr>
        <w:t>Rules, Regulations, and Guidelines</w:t>
      </w:r>
    </w:p>
    <w:bookmarkEnd w:id="11"/>
    <w:p w14:paraId="794EEB38" w14:textId="5224B911" w:rsidR="00980B2A" w:rsidRPr="008835FA" w:rsidRDefault="00980B2A" w:rsidP="008835FA">
      <w:pPr>
        <w:rPr>
          <w:rFonts w:eastAsia="Calibri" w:cs="Times New Roman"/>
          <w:kern w:val="0"/>
          <w:sz w:val="22"/>
          <w:szCs w:val="22"/>
          <w14:ligatures w14:val="none"/>
        </w:rPr>
      </w:pPr>
      <w:r w:rsidRPr="008835FA">
        <w:rPr>
          <w:rFonts w:eastAsia="Calibri" w:cs="Times New Roman"/>
          <w:kern w:val="0"/>
          <w:sz w:val="22"/>
          <w:szCs w:val="22"/>
          <w14:ligatures w14:val="none"/>
        </w:rPr>
        <w:t xml:space="preserve">The following is </w:t>
      </w:r>
      <w:r w:rsidR="00DE030D" w:rsidRPr="008835FA">
        <w:rPr>
          <w:rFonts w:eastAsia="Calibri" w:cs="Times New Roman"/>
          <w:kern w:val="0"/>
          <w:sz w:val="22"/>
          <w:szCs w:val="22"/>
          <w14:ligatures w14:val="none"/>
        </w:rPr>
        <w:t>a summary</w:t>
      </w:r>
      <w:r w:rsidRPr="008835FA">
        <w:rPr>
          <w:rFonts w:eastAsia="Calibri" w:cs="Times New Roman"/>
          <w:kern w:val="0"/>
          <w:sz w:val="22"/>
          <w:szCs w:val="22"/>
          <w14:ligatures w14:val="none"/>
        </w:rPr>
        <w:t xml:space="preserve"> of the regulatory authorities that either regulate or provide guidelines for the use of biohazards.</w:t>
      </w:r>
    </w:p>
    <w:p w14:paraId="7627CF59" w14:textId="721A5F48" w:rsidR="00980B2A" w:rsidRPr="007A4D3C" w:rsidRDefault="00980B2A" w:rsidP="000A313A">
      <w:pPr>
        <w:pStyle w:val="ListParagraph"/>
        <w:numPr>
          <w:ilvl w:val="0"/>
          <w:numId w:val="36"/>
        </w:numPr>
        <w:rPr>
          <w:rFonts w:eastAsia="Calibri" w:cs="Times New Roman"/>
          <w:b/>
          <w:bCs/>
          <w:kern w:val="0"/>
          <w:sz w:val="22"/>
          <w:szCs w:val="22"/>
          <w14:ligatures w14:val="none"/>
        </w:rPr>
      </w:pPr>
      <w:r w:rsidRPr="00275D53">
        <w:rPr>
          <w:rFonts w:eastAsia="Calibri" w:cs="Times New Roman"/>
          <w:b/>
          <w:bCs/>
          <w:kern w:val="0"/>
          <w:sz w:val="22"/>
          <w:szCs w:val="22"/>
          <w14:ligatures w14:val="none"/>
        </w:rPr>
        <w:t>NIH Guidelines for Research Involving Recombinant or Synthetic Nucleic Acid</w:t>
      </w:r>
      <w:r w:rsidR="00275D53" w:rsidRPr="00275D53">
        <w:rPr>
          <w:rFonts w:eastAsia="Calibri" w:cs="Times New Roman"/>
          <w:b/>
          <w:bCs/>
          <w:kern w:val="0"/>
          <w:sz w:val="22"/>
          <w:szCs w:val="22"/>
          <w14:ligatures w14:val="none"/>
        </w:rPr>
        <w:t xml:space="preserve"> </w:t>
      </w:r>
      <w:r w:rsidRPr="00275D53">
        <w:rPr>
          <w:rFonts w:eastAsia="Calibri" w:cs="Times New Roman"/>
          <w:b/>
          <w:bCs/>
          <w:kern w:val="0"/>
          <w:sz w:val="22"/>
          <w:szCs w:val="22"/>
          <w14:ligatures w14:val="none"/>
        </w:rPr>
        <w:t>Molecules</w:t>
      </w:r>
      <w:r w:rsidRPr="00275D53">
        <w:rPr>
          <w:rFonts w:eastAsia="Calibri" w:cs="Times New Roman"/>
          <w:kern w:val="0"/>
          <w:sz w:val="22"/>
          <w:szCs w:val="22"/>
          <w14:ligatures w14:val="none"/>
        </w:rPr>
        <w:t>: The NIH Guidelines for Research Involving Recombinant or Synthetic Nucleic Acid Molecules (NIH Guidelines) detail safety practices and containment procedures for basic and clinical research involving recombinant or synthetic nucleic acid molecules, including the creation and use of organisms and viruses containing recombinant or synthetic nucleic acid molecules. NIH Guidelines describe the roles and responsibilities of the Institution, the IBC, and the Principal Investigator (PI</w:t>
      </w:r>
      <w:r w:rsidRPr="007A4D3C">
        <w:rPr>
          <w:rFonts w:eastAsia="Calibri" w:cs="Times New Roman"/>
          <w:kern w:val="0"/>
          <w:sz w:val="22"/>
          <w:szCs w:val="22"/>
          <w14:ligatures w14:val="none"/>
        </w:rPr>
        <w:t>)</w:t>
      </w:r>
      <w:r w:rsidR="00B267E9" w:rsidRPr="007A4D3C">
        <w:rPr>
          <w:rFonts w:eastAsia="Calibri" w:cs="Times New Roman"/>
          <w:kern w:val="0"/>
          <w:sz w:val="22"/>
          <w:szCs w:val="22"/>
          <w14:ligatures w14:val="none"/>
        </w:rPr>
        <w:t xml:space="preserve">. </w:t>
      </w:r>
      <w:r w:rsidRPr="007A4D3C">
        <w:rPr>
          <w:rFonts w:eastAsia="Calibri" w:cs="Times New Roman"/>
          <w:kern w:val="0"/>
          <w:sz w:val="22"/>
          <w:szCs w:val="22"/>
          <w14:ligatures w14:val="none"/>
        </w:rPr>
        <w:t>(</w:t>
      </w:r>
      <w:hyperlink r:id="rId18" w:history="1">
        <w:r w:rsidRPr="007A4D3C">
          <w:rPr>
            <w:rFonts w:eastAsia="Calibri" w:cs="Times New Roman"/>
            <w:color w:val="215E99" w:themeColor="text2" w:themeTint="BF"/>
            <w:kern w:val="0"/>
            <w:sz w:val="22"/>
            <w:szCs w:val="22"/>
            <w:u w:val="single"/>
            <w14:ligatures w14:val="none"/>
          </w:rPr>
          <w:t>https://osp.od.nih.gov/wp-content/uploads/NIH_Guidelines.pdf</w:t>
        </w:r>
      </w:hyperlink>
      <w:r w:rsidRPr="007A4D3C">
        <w:rPr>
          <w:rFonts w:eastAsia="Calibri" w:cs="Times New Roman"/>
          <w:kern w:val="0"/>
          <w:sz w:val="22"/>
          <w:szCs w:val="22"/>
          <w14:ligatures w14:val="none"/>
        </w:rPr>
        <w:t xml:space="preserve">) </w:t>
      </w:r>
    </w:p>
    <w:p w14:paraId="312C98C2" w14:textId="77777777" w:rsidR="00275D53" w:rsidRPr="007A4D3C" w:rsidRDefault="00980B2A" w:rsidP="000A313A">
      <w:pPr>
        <w:pStyle w:val="ListParagraph"/>
        <w:numPr>
          <w:ilvl w:val="0"/>
          <w:numId w:val="36"/>
        </w:numPr>
        <w:rPr>
          <w:rFonts w:eastAsia="Calibri" w:cs="Times New Roman"/>
          <w:kern w:val="0"/>
          <w:sz w:val="22"/>
          <w:szCs w:val="22"/>
          <w14:ligatures w14:val="none"/>
        </w:rPr>
      </w:pPr>
      <w:r w:rsidRPr="00275D53">
        <w:rPr>
          <w:rFonts w:eastAsia="Calibri" w:cs="Times New Roman"/>
          <w:b/>
          <w:bCs/>
          <w:kern w:val="0"/>
          <w:sz w:val="22"/>
          <w:szCs w:val="22"/>
          <w14:ligatures w14:val="none"/>
        </w:rPr>
        <w:t xml:space="preserve">CDC/NIH Biosafety in Microbiological and Biomedical Laboratories (BMBL): </w:t>
      </w:r>
      <w:r w:rsidRPr="00275D53">
        <w:rPr>
          <w:rFonts w:eastAsia="Calibri" w:cs="Times New Roman"/>
          <w:kern w:val="0"/>
          <w:sz w:val="22"/>
          <w:szCs w:val="22"/>
          <w14:ligatures w14:val="none"/>
        </w:rPr>
        <w:t>Biosafety in Microbiological and Biomedical Laboratories (BMBL) has served as the cornerstone of biosafety practice in the United States since its initial release in 1984. BMBL remains an advisory document recommending best practices for the safe conduct of work in biomedical and clinical laboratories from a biosafety perspective. The core principle of this document is protocol-driven risk assessment. UND is using the BMBL as the basis for this biosafety manual</w:t>
      </w:r>
      <w:r w:rsidRPr="007A4D3C">
        <w:rPr>
          <w:rFonts w:eastAsia="Calibri" w:cs="Times New Roman"/>
          <w:kern w:val="0"/>
          <w:sz w:val="22"/>
          <w:szCs w:val="22"/>
          <w14:ligatures w14:val="none"/>
        </w:rPr>
        <w:t>. (</w:t>
      </w:r>
      <w:hyperlink r:id="rId19" w:history="1">
        <w:r w:rsidRPr="007A4D3C">
          <w:rPr>
            <w:rFonts w:eastAsia="Calibri" w:cs="Times New Roman"/>
            <w:color w:val="215E99" w:themeColor="text2" w:themeTint="BF"/>
            <w:kern w:val="0"/>
            <w:sz w:val="22"/>
            <w:szCs w:val="22"/>
            <w:u w:val="single"/>
            <w14:ligatures w14:val="none"/>
          </w:rPr>
          <w:t>https://www.cdc.gov/labs/bmbl/index.html</w:t>
        </w:r>
      </w:hyperlink>
      <w:r w:rsidRPr="007A4D3C">
        <w:rPr>
          <w:rFonts w:eastAsia="Calibri" w:cs="Times New Roman"/>
          <w:kern w:val="0"/>
          <w:sz w:val="22"/>
          <w:szCs w:val="22"/>
          <w14:ligatures w14:val="none"/>
        </w:rPr>
        <w:t xml:space="preserve">) </w:t>
      </w:r>
    </w:p>
    <w:p w14:paraId="7BAACABA" w14:textId="77777777" w:rsidR="00275D53" w:rsidRDefault="00980B2A" w:rsidP="000A313A">
      <w:pPr>
        <w:pStyle w:val="ListParagraph"/>
        <w:numPr>
          <w:ilvl w:val="0"/>
          <w:numId w:val="36"/>
        </w:numPr>
        <w:rPr>
          <w:rFonts w:eastAsia="Calibri" w:cs="Times New Roman"/>
          <w:kern w:val="0"/>
          <w:sz w:val="22"/>
          <w:szCs w:val="22"/>
          <w14:ligatures w14:val="none"/>
        </w:rPr>
      </w:pPr>
      <w:r w:rsidRPr="00275D53">
        <w:rPr>
          <w:rFonts w:eastAsia="Calibri" w:cs="Times New Roman"/>
          <w:b/>
          <w:bCs/>
          <w:kern w:val="0"/>
          <w:sz w:val="22"/>
          <w:szCs w:val="22"/>
          <w14:ligatures w14:val="none"/>
        </w:rPr>
        <w:t>Laboratory Biosafety Manual, 4th Edition (World Health Organization)</w:t>
      </w:r>
      <w:r w:rsidRPr="00275D53">
        <w:rPr>
          <w:rFonts w:eastAsia="Calibri" w:cs="Times New Roman"/>
          <w:kern w:val="0"/>
          <w:sz w:val="22"/>
          <w:szCs w:val="22"/>
          <w14:ligatures w14:val="none"/>
        </w:rPr>
        <w:t xml:space="preserve">: The WHO Laboratory Biosafety Manual (LBM) has been in broad use at all levels of clinical and public health laboratories, and other biomedical sectors globally, serving as a de facto global standard that presents best practices and sets trends in biosafety. </w:t>
      </w:r>
      <w:r w:rsidRPr="007A4D3C">
        <w:rPr>
          <w:rFonts w:eastAsia="Calibri" w:cs="Times New Roman"/>
          <w:kern w:val="0"/>
          <w:sz w:val="22"/>
          <w:szCs w:val="22"/>
          <w14:ligatures w14:val="none"/>
        </w:rPr>
        <w:t>(</w:t>
      </w:r>
      <w:hyperlink r:id="rId20" w:history="1">
        <w:r w:rsidRPr="007A4D3C">
          <w:rPr>
            <w:rFonts w:eastAsia="Calibri" w:cs="Times New Roman"/>
            <w:color w:val="215E99" w:themeColor="text2" w:themeTint="BF"/>
            <w:kern w:val="0"/>
            <w:sz w:val="22"/>
            <w:szCs w:val="22"/>
            <w:u w:val="single"/>
            <w14:ligatures w14:val="none"/>
          </w:rPr>
          <w:t>https://www.who.int/publications/i/item/9789240011311</w:t>
        </w:r>
      </w:hyperlink>
      <w:r w:rsidRPr="007A4D3C">
        <w:rPr>
          <w:rFonts w:eastAsia="Calibri" w:cs="Times New Roman"/>
          <w:kern w:val="0"/>
          <w:sz w:val="22"/>
          <w:szCs w:val="22"/>
          <w14:ligatures w14:val="none"/>
        </w:rPr>
        <w:t>)</w:t>
      </w:r>
      <w:r w:rsidRPr="00275D53">
        <w:rPr>
          <w:rFonts w:eastAsia="Calibri" w:cs="Times New Roman"/>
          <w:kern w:val="0"/>
          <w:sz w:val="22"/>
          <w:szCs w:val="22"/>
          <w14:ligatures w14:val="none"/>
        </w:rPr>
        <w:t xml:space="preserve"> </w:t>
      </w:r>
    </w:p>
    <w:p w14:paraId="495EAF21" w14:textId="77777777" w:rsidR="00275D53" w:rsidRDefault="00980B2A" w:rsidP="000A313A">
      <w:pPr>
        <w:pStyle w:val="ListParagraph"/>
        <w:numPr>
          <w:ilvl w:val="0"/>
          <w:numId w:val="36"/>
        </w:numPr>
        <w:rPr>
          <w:rFonts w:eastAsia="Calibri" w:cs="Times New Roman"/>
          <w:kern w:val="0"/>
          <w:sz w:val="22"/>
          <w:szCs w:val="22"/>
          <w14:ligatures w14:val="none"/>
        </w:rPr>
      </w:pPr>
      <w:r w:rsidRPr="00275D53">
        <w:rPr>
          <w:rFonts w:eastAsia="Calibri" w:cs="Times New Roman"/>
          <w:b/>
          <w:bCs/>
          <w:kern w:val="0"/>
          <w:sz w:val="22"/>
          <w:szCs w:val="22"/>
          <w14:ligatures w14:val="none"/>
        </w:rPr>
        <w:t>The Federal Select Agent Program:</w:t>
      </w:r>
      <w:r w:rsidRPr="00275D53">
        <w:rPr>
          <w:rFonts w:eastAsia="Calibri" w:cs="Times New Roman"/>
          <w:kern w:val="0"/>
          <w:sz w:val="22"/>
          <w:szCs w:val="22"/>
          <w14:ligatures w14:val="none"/>
        </w:rPr>
        <w:t xml:space="preserve"> The Federal Select Agent Program is jointly comprised of the Centers for Disease Control and Prevention/Division of Regulatory Science and Compliance and the Animal and Plant Health Inspection Service/Division of Agricultural Select Agents and Toxins. The Federal Select Agent Program oversees the possession, use and transfer of select agents and toxins, which pose a threat to public, animal or plant health. (</w:t>
      </w:r>
      <w:hyperlink r:id="rId21" w:history="1">
        <w:r w:rsidRPr="007A4D3C">
          <w:rPr>
            <w:rFonts w:eastAsia="Calibri" w:cs="Times New Roman"/>
            <w:color w:val="215E99" w:themeColor="text2" w:themeTint="BF"/>
            <w:kern w:val="0"/>
            <w:sz w:val="22"/>
            <w:szCs w:val="22"/>
            <w:u w:val="single"/>
            <w14:ligatures w14:val="none"/>
          </w:rPr>
          <w:t>https://www.selectagents.gov/index.htm</w:t>
        </w:r>
      </w:hyperlink>
      <w:r w:rsidRPr="00275D53">
        <w:rPr>
          <w:rFonts w:eastAsia="Calibri" w:cs="Times New Roman"/>
          <w:kern w:val="0"/>
          <w:sz w:val="22"/>
          <w:szCs w:val="22"/>
          <w14:ligatures w14:val="none"/>
        </w:rPr>
        <w:t xml:space="preserve">) </w:t>
      </w:r>
    </w:p>
    <w:p w14:paraId="1098D4D1" w14:textId="77777777" w:rsidR="00275D53" w:rsidRPr="00275D53" w:rsidRDefault="00980B2A" w:rsidP="000A313A">
      <w:pPr>
        <w:pStyle w:val="ListParagraph"/>
        <w:numPr>
          <w:ilvl w:val="0"/>
          <w:numId w:val="36"/>
        </w:numPr>
        <w:rPr>
          <w:rFonts w:eastAsia="Calibri" w:cs="Times New Roman"/>
          <w:kern w:val="0"/>
          <w:sz w:val="22"/>
          <w:szCs w:val="22"/>
          <w14:ligatures w14:val="none"/>
        </w:rPr>
      </w:pPr>
      <w:r w:rsidRPr="00275D53">
        <w:rPr>
          <w:b/>
          <w:bCs/>
          <w:sz w:val="22"/>
          <w:szCs w:val="22"/>
        </w:rPr>
        <w:t>Bloodborne Pathogens Standard:</w:t>
      </w:r>
      <w:r w:rsidRPr="00275D53">
        <w:rPr>
          <w:sz w:val="22"/>
          <w:szCs w:val="22"/>
        </w:rPr>
        <w:t xml:space="preserve"> The Bloodborne Pathogens Standard, promulgated by the Federal Occupational Safety and Health Administration (OSHA), applies to staff with reasonably anticipated exposure to blood or other potentially infectious materials (including human cell lines) during the course of their work. (</w:t>
      </w:r>
      <w:hyperlink r:id="rId22" w:history="1">
        <w:r w:rsidRPr="007A4D3C">
          <w:rPr>
            <w:color w:val="215E99" w:themeColor="text2" w:themeTint="BF"/>
            <w:sz w:val="22"/>
            <w:szCs w:val="22"/>
            <w:u w:val="single"/>
          </w:rPr>
          <w:t>https://www.osha.gov/bloodborne-pathogens/standards</w:t>
        </w:r>
      </w:hyperlink>
      <w:r w:rsidRPr="00275D53">
        <w:rPr>
          <w:sz w:val="22"/>
          <w:szCs w:val="22"/>
        </w:rPr>
        <w:t xml:space="preserve">) </w:t>
      </w:r>
    </w:p>
    <w:p w14:paraId="13D1B7F7" w14:textId="77777777" w:rsidR="00275D53" w:rsidRDefault="00980B2A" w:rsidP="000A313A">
      <w:pPr>
        <w:pStyle w:val="ListParagraph"/>
        <w:numPr>
          <w:ilvl w:val="0"/>
          <w:numId w:val="36"/>
        </w:numPr>
        <w:rPr>
          <w:rFonts w:eastAsia="Calibri" w:cs="Times New Roman"/>
          <w:kern w:val="0"/>
          <w:sz w:val="22"/>
          <w:szCs w:val="22"/>
          <w14:ligatures w14:val="none"/>
        </w:rPr>
      </w:pPr>
      <w:r w:rsidRPr="00275D53">
        <w:rPr>
          <w:rFonts w:eastAsia="Calibri" w:cs="Times New Roman"/>
          <w:b/>
          <w:bCs/>
          <w:kern w:val="0"/>
          <w:sz w:val="22"/>
          <w:szCs w:val="22"/>
          <w14:ligatures w14:val="none"/>
        </w:rPr>
        <w:lastRenderedPageBreak/>
        <w:t>Department of Transportation:</w:t>
      </w:r>
      <w:r w:rsidRPr="00275D53">
        <w:rPr>
          <w:rFonts w:eastAsia="Calibri" w:cs="Times New Roman"/>
          <w:kern w:val="0"/>
          <w:sz w:val="22"/>
          <w:szCs w:val="22"/>
          <w14:ligatures w14:val="none"/>
        </w:rPr>
        <w:t xml:space="preserve"> Department of Transportation’s (DOT) Research and Special Programs Administration’s Title 49 Code of Federal Regulations Parts 171-180</w:t>
      </w:r>
      <w:r w:rsidRPr="00275D53">
        <w:rPr>
          <w:rFonts w:eastAsia="Calibri" w:cs="Times New Roman"/>
          <w:b/>
          <w:bCs/>
          <w:kern w:val="0"/>
          <w:sz w:val="22"/>
          <w:szCs w:val="22"/>
          <w14:ligatures w14:val="none"/>
        </w:rPr>
        <w:t xml:space="preserve"> </w:t>
      </w:r>
      <w:r w:rsidRPr="00275D53">
        <w:rPr>
          <w:rFonts w:eastAsia="Calibri" w:cs="Times New Roman"/>
          <w:kern w:val="0"/>
          <w:sz w:val="22"/>
          <w:szCs w:val="22"/>
          <w14:ligatures w14:val="none"/>
        </w:rPr>
        <w:t>apply to all untreated biohazardous waste that is shipped off-site for treatment and disposal by a UND waste contractor. Employees who prepare biohazardous waste for collection by a waste contractor must complete mandatory safety training before offering shipments and every three years. (</w:t>
      </w:r>
      <w:hyperlink r:id="rId23" w:history="1">
        <w:r w:rsidRPr="007A4D3C">
          <w:rPr>
            <w:rFonts w:eastAsia="Calibri" w:cs="Times New Roman"/>
            <w:color w:val="215E99" w:themeColor="text2" w:themeTint="BF"/>
            <w:kern w:val="0"/>
            <w:sz w:val="22"/>
            <w:szCs w:val="22"/>
            <w:u w:val="single"/>
            <w14:ligatures w14:val="none"/>
          </w:rPr>
          <w:t>https://www.ecfr.gov/current/title-49/subtitle-B/chapter-I/subchapter-C/part-171</w:t>
        </w:r>
      </w:hyperlink>
      <w:r w:rsidRPr="00275D53">
        <w:rPr>
          <w:rFonts w:eastAsia="Calibri" w:cs="Times New Roman"/>
          <w:kern w:val="0"/>
          <w:sz w:val="22"/>
          <w:szCs w:val="22"/>
          <w14:ligatures w14:val="none"/>
        </w:rPr>
        <w:t xml:space="preserve">)    </w:t>
      </w:r>
    </w:p>
    <w:p w14:paraId="3BB6BF3D" w14:textId="6269BA21" w:rsidR="00275D53" w:rsidRDefault="00980B2A" w:rsidP="000A313A">
      <w:pPr>
        <w:pStyle w:val="ListParagraph"/>
        <w:numPr>
          <w:ilvl w:val="0"/>
          <w:numId w:val="36"/>
        </w:numPr>
        <w:rPr>
          <w:rFonts w:eastAsia="Calibri" w:cs="Times New Roman"/>
          <w:kern w:val="0"/>
          <w:sz w:val="22"/>
          <w:szCs w:val="22"/>
          <w14:ligatures w14:val="none"/>
        </w:rPr>
      </w:pPr>
      <w:r w:rsidRPr="00275D53">
        <w:rPr>
          <w:rFonts w:eastAsia="Calibri" w:cs="Times New Roman"/>
          <w:b/>
          <w:bCs/>
          <w:kern w:val="0"/>
          <w:sz w:val="22"/>
          <w:szCs w:val="22"/>
          <w14:ligatures w14:val="none"/>
        </w:rPr>
        <w:t>United States Government Policy for Institutional Oversight of Life Sciences DURC (Dual Use Research of Concern)</w:t>
      </w:r>
      <w:r w:rsidRPr="00275D53">
        <w:rPr>
          <w:rFonts w:eastAsia="Calibri" w:cs="Times New Roman"/>
          <w:kern w:val="0"/>
          <w:sz w:val="22"/>
          <w:szCs w:val="22"/>
          <w14:ligatures w14:val="none"/>
        </w:rPr>
        <w:t>: The DURC policy aims to preserve the benefits of life sciences research, while minimizing the risk of misuse of the knowledge, information, products, or technologies provided by the research. The United States Government Policy applies to research involving high consequence pathogens and toxins. If research with botulinum neurotoxins or a subset of select agents is anticipated to create categories of experimental concern, it is considered to be DURC. UND Office of Safety and the Institutional Biosafety Committee (IBC), with assistance from the Office of Research, are responsible for developing and implementing the University’s DURC policy. (</w:t>
      </w:r>
      <w:hyperlink r:id="rId24" w:history="1">
        <w:r w:rsidR="00701C7E" w:rsidRPr="007A4D3C">
          <w:rPr>
            <w:rStyle w:val="Hyperlink"/>
            <w:color w:val="215E99" w:themeColor="text2" w:themeTint="BF"/>
            <w:sz w:val="22"/>
            <w:szCs w:val="22"/>
          </w:rPr>
          <w:t>https://aspr.hhs.gov/S3/Documents/USG-Policy-for-Oversight-of-DURC-and-PEPP-May2024-508.pdf</w:t>
        </w:r>
      </w:hyperlink>
      <w:r w:rsidR="00701C7E" w:rsidRPr="007A4D3C">
        <w:rPr>
          <w:color w:val="215E99" w:themeColor="text2" w:themeTint="BF"/>
          <w:sz w:val="22"/>
          <w:szCs w:val="22"/>
        </w:rPr>
        <w:t xml:space="preserve">  </w:t>
      </w:r>
      <w:r w:rsidR="00701C7E" w:rsidRPr="00580E70">
        <w:rPr>
          <w:color w:val="000000" w:themeColor="text1"/>
          <w:sz w:val="22"/>
          <w:szCs w:val="22"/>
        </w:rPr>
        <w:t>and</w:t>
      </w:r>
      <w:r w:rsidRPr="007A4D3C">
        <w:rPr>
          <w:rFonts w:eastAsia="Calibri" w:cs="Times New Roman"/>
          <w:color w:val="215E99" w:themeColor="text2" w:themeTint="BF"/>
          <w:kern w:val="0"/>
          <w:sz w:val="22"/>
          <w:szCs w:val="22"/>
          <w14:ligatures w14:val="none"/>
        </w:rPr>
        <w:t xml:space="preserve">  </w:t>
      </w:r>
      <w:hyperlink r:id="rId25" w:history="1">
        <w:r w:rsidR="00701C7E" w:rsidRPr="007A4D3C">
          <w:rPr>
            <w:rStyle w:val="Hyperlink"/>
            <w:rFonts w:eastAsia="Calibri" w:cs="Times New Roman"/>
            <w:color w:val="215E99" w:themeColor="text2" w:themeTint="BF"/>
            <w:kern w:val="0"/>
            <w:sz w:val="22"/>
            <w:szCs w:val="22"/>
            <w14:ligatures w14:val="none"/>
          </w:rPr>
          <w:t>https://aspr.hhs.gov/S3/Documents/USG-DURC-PEPP-Implementation-Guidance-May2024-508.pdf</w:t>
        </w:r>
      </w:hyperlink>
      <w:r w:rsidR="00701C7E">
        <w:rPr>
          <w:rFonts w:eastAsia="Calibri" w:cs="Times New Roman"/>
          <w:kern w:val="0"/>
          <w:sz w:val="22"/>
          <w:szCs w:val="22"/>
          <w14:ligatures w14:val="none"/>
        </w:rPr>
        <w:t xml:space="preserve"> )</w:t>
      </w:r>
    </w:p>
    <w:p w14:paraId="206290AF" w14:textId="2623C946" w:rsidR="00980B2A" w:rsidRPr="00275D53" w:rsidRDefault="00980B2A" w:rsidP="000A313A">
      <w:pPr>
        <w:pStyle w:val="ListParagraph"/>
        <w:numPr>
          <w:ilvl w:val="0"/>
          <w:numId w:val="36"/>
        </w:numPr>
        <w:rPr>
          <w:rFonts w:eastAsia="Calibri" w:cs="Times New Roman"/>
          <w:kern w:val="0"/>
          <w:sz w:val="22"/>
          <w:szCs w:val="22"/>
          <w14:ligatures w14:val="none"/>
        </w:rPr>
      </w:pPr>
      <w:r w:rsidRPr="00275D53">
        <w:rPr>
          <w:rFonts w:eastAsia="Calibri" w:cs="Times New Roman"/>
          <w:b/>
          <w:bCs/>
          <w:kern w:val="0"/>
          <w:sz w:val="22"/>
          <w:szCs w:val="22"/>
          <w14:ligatures w14:val="none"/>
        </w:rPr>
        <w:t xml:space="preserve">North Dakota Division of Waste Management: </w:t>
      </w:r>
      <w:r w:rsidRPr="00275D53">
        <w:rPr>
          <w:rFonts w:eastAsia="Calibri" w:cs="Times New Roman"/>
          <w:kern w:val="0"/>
          <w:sz w:val="22"/>
          <w:szCs w:val="22"/>
          <w14:ligatures w14:val="none"/>
        </w:rPr>
        <w:t xml:space="preserve">The Hazardous Waste Program (HWP) regulates the generation, treatment, recycling, storage, </w:t>
      </w:r>
      <w:r w:rsidR="00B267E9" w:rsidRPr="00275D53">
        <w:rPr>
          <w:rFonts w:eastAsia="Calibri" w:cs="Times New Roman"/>
          <w:kern w:val="0"/>
          <w:sz w:val="22"/>
          <w:szCs w:val="22"/>
          <w14:ligatures w14:val="none"/>
        </w:rPr>
        <w:t>transportation,</w:t>
      </w:r>
      <w:r w:rsidRPr="00275D53">
        <w:rPr>
          <w:rFonts w:eastAsia="Calibri" w:cs="Times New Roman"/>
          <w:kern w:val="0"/>
          <w:sz w:val="22"/>
          <w:szCs w:val="22"/>
          <w14:ligatures w14:val="none"/>
        </w:rPr>
        <w:t xml:space="preserve"> and disposal of hazardous waste and used oil to ensure that hazardous waste management activities in North Dakota are conducted in compliance with North Dakota's Hazardous Waste Management Rules. North Dakota is an authorized state, which means the HWP implements the requirements of the Resource Conservation and Recovery Act (RCRA) in place of the federal Environmental Protection Agency. Other activities conducted by the HWP include oversight of polychlorinated biphenyls (PCBs) and the Brownfields program. (</w:t>
      </w:r>
      <w:hyperlink r:id="rId26" w:history="1">
        <w:r w:rsidRPr="00580E70">
          <w:rPr>
            <w:rFonts w:eastAsia="Calibri" w:cs="Times New Roman"/>
            <w:color w:val="215E99" w:themeColor="text2" w:themeTint="BF"/>
            <w:kern w:val="0"/>
            <w:sz w:val="22"/>
            <w:szCs w:val="22"/>
            <w:u w:val="single"/>
            <w14:ligatures w14:val="none"/>
          </w:rPr>
          <w:t>https://deq.nd.gov/WM/HazardousWasteProgram/</w:t>
        </w:r>
      </w:hyperlink>
      <w:r w:rsidRPr="00275D53">
        <w:rPr>
          <w:rFonts w:eastAsia="Calibri" w:cs="Times New Roman"/>
          <w:kern w:val="0"/>
          <w:sz w:val="22"/>
          <w:szCs w:val="22"/>
          <w14:ligatures w14:val="none"/>
        </w:rPr>
        <w:t>)</w:t>
      </w:r>
    </w:p>
    <w:p w14:paraId="2F1D724A" w14:textId="77777777" w:rsidR="008C67EE" w:rsidRPr="008835FA" w:rsidRDefault="008C67EE" w:rsidP="008835FA">
      <w:pPr>
        <w:rPr>
          <w:rFonts w:eastAsia="Calibri" w:cs="Times New Roman"/>
          <w:kern w:val="0"/>
          <w:sz w:val="22"/>
          <w:szCs w:val="22"/>
          <w14:ligatures w14:val="none"/>
        </w:rPr>
      </w:pPr>
    </w:p>
    <w:p w14:paraId="4695C17A" w14:textId="2A87F43E" w:rsidR="008C67EE" w:rsidRPr="00886C31" w:rsidRDefault="008C67EE" w:rsidP="008835FA">
      <w:pPr>
        <w:rPr>
          <w:rFonts w:eastAsia="Calibri" w:cs="Times New Roman"/>
          <w:b/>
          <w:bCs/>
          <w:kern w:val="0"/>
          <w:u w:val="single"/>
          <w14:ligatures w14:val="none"/>
        </w:rPr>
      </w:pPr>
      <w:bookmarkStart w:id="12" w:name="BioharardousResearchProjectRegistration"/>
      <w:r w:rsidRPr="00886C31">
        <w:rPr>
          <w:rFonts w:eastAsia="Calibri" w:cs="Times New Roman"/>
          <w:b/>
          <w:bCs/>
          <w:kern w:val="0"/>
          <w:u w:val="single"/>
          <w14:ligatures w14:val="none"/>
        </w:rPr>
        <w:t>Biohazardous Research Project Registration and Approval</w:t>
      </w:r>
    </w:p>
    <w:bookmarkEnd w:id="12"/>
    <w:p w14:paraId="02156DE3" w14:textId="2B869095" w:rsidR="008C67EE" w:rsidRPr="008835FA" w:rsidRDefault="00701C7E" w:rsidP="008835FA">
      <w:pPr>
        <w:rPr>
          <w:rFonts w:eastAsia="Calibri" w:cs="Times New Roman"/>
          <w:bCs/>
          <w:kern w:val="0"/>
          <w:sz w:val="22"/>
          <w:szCs w:val="22"/>
          <w14:ligatures w14:val="none"/>
        </w:rPr>
      </w:pPr>
      <w:r w:rsidRPr="00701C7E">
        <w:rPr>
          <w:rFonts w:eastAsia="Calibri" w:cs="Times New Roman"/>
          <w:bCs/>
          <w:kern w:val="0"/>
          <w:sz w:val="22"/>
          <w:szCs w:val="22"/>
          <w14:ligatures w14:val="none"/>
        </w:rPr>
        <w:t>The University requires IBC to review and approve all research and instructional activities involving biohazardous material prior to initiating the activity. This includes research, instructional, clinical/diagnostic activities involving recombinant or synthetic nucleic acid molecules that qualify for exemption from the NIH Guidelines. Faculty, staff, and students of UND may only self-exempt</w:t>
      </w:r>
      <w:r w:rsidR="00353560">
        <w:rPr>
          <w:rFonts w:eastAsia="Calibri" w:cs="Times New Roman"/>
          <w:bCs/>
          <w:kern w:val="0"/>
          <w:sz w:val="22"/>
          <w:szCs w:val="22"/>
          <w14:ligatures w14:val="none"/>
        </w:rPr>
        <w:t xml:space="preserve"> </w:t>
      </w:r>
      <w:r w:rsidRPr="00701C7E">
        <w:rPr>
          <w:rFonts w:eastAsia="Calibri" w:cs="Times New Roman"/>
          <w:bCs/>
          <w:kern w:val="0"/>
          <w:sz w:val="22"/>
          <w:szCs w:val="22"/>
          <w14:ligatures w14:val="none"/>
        </w:rPr>
        <w:t xml:space="preserve">activities involving synthetic nucleic acid molecules that cannot replicate or generate nucleic acids that cannot subsequently replicate in any living cell (e.g., oligonucleotides). Examples of synthetic nucleic acid molecules that researchers cannot self-exempt include those designed for use in human gene transfer experiments, those that contain genes for the biosynthesis of toxin molecules lethal for vertebrates at an LD50 of less than 100 ng/kg body weight (e.g., microbial toxins such as the botulinum toxins, tetanus toxin, diphtheria toxin etc.), and those that are designed for </w:t>
      </w:r>
      <w:r w:rsidRPr="00701C7E">
        <w:rPr>
          <w:rFonts w:eastAsia="Calibri" w:cs="Times New Roman"/>
          <w:bCs/>
          <w:kern w:val="0"/>
          <w:sz w:val="22"/>
          <w:szCs w:val="22"/>
          <w14:ligatures w14:val="none"/>
        </w:rPr>
        <w:lastRenderedPageBreak/>
        <w:t xml:space="preserve">generation of transgenic plants or animals. All other activities involving recombinant or synthetic nucleic acids, biohazardous agents, and/or </w:t>
      </w:r>
      <w:r w:rsidR="00580E70" w:rsidRPr="00701C7E">
        <w:rPr>
          <w:rFonts w:eastAsia="Calibri" w:cs="Times New Roman"/>
          <w:bCs/>
          <w:kern w:val="0"/>
          <w:sz w:val="22"/>
          <w:szCs w:val="22"/>
          <w14:ligatures w14:val="none"/>
        </w:rPr>
        <w:t>biologically derived</w:t>
      </w:r>
      <w:r w:rsidRPr="00701C7E">
        <w:rPr>
          <w:rFonts w:eastAsia="Calibri" w:cs="Times New Roman"/>
          <w:bCs/>
          <w:kern w:val="0"/>
          <w:sz w:val="22"/>
          <w:szCs w:val="22"/>
          <w14:ligatures w14:val="none"/>
        </w:rPr>
        <w:t xml:space="preserve"> toxins require IBC approval prior to initiation. For these activities, </w:t>
      </w:r>
      <w:r w:rsidR="00463218">
        <w:rPr>
          <w:rFonts w:eastAsia="Calibri" w:cs="Times New Roman"/>
          <w:bCs/>
          <w:kern w:val="0"/>
          <w:sz w:val="22"/>
          <w:szCs w:val="22"/>
          <w14:ligatures w14:val="none"/>
        </w:rPr>
        <w:t>P</w:t>
      </w:r>
      <w:r w:rsidRPr="00701C7E">
        <w:rPr>
          <w:rFonts w:eastAsia="Calibri" w:cs="Times New Roman"/>
          <w:bCs/>
          <w:kern w:val="0"/>
          <w:sz w:val="22"/>
          <w:szCs w:val="22"/>
          <w14:ligatures w14:val="none"/>
        </w:rPr>
        <w:t xml:space="preserve">rincipal </w:t>
      </w:r>
      <w:r w:rsidR="00463218">
        <w:rPr>
          <w:rFonts w:eastAsia="Calibri" w:cs="Times New Roman"/>
          <w:bCs/>
          <w:kern w:val="0"/>
          <w:sz w:val="22"/>
          <w:szCs w:val="22"/>
          <w14:ligatures w14:val="none"/>
        </w:rPr>
        <w:t>I</w:t>
      </w:r>
      <w:r w:rsidRPr="00701C7E">
        <w:rPr>
          <w:rFonts w:eastAsia="Calibri" w:cs="Times New Roman"/>
          <w:bCs/>
          <w:kern w:val="0"/>
          <w:sz w:val="22"/>
          <w:szCs w:val="22"/>
          <w14:ligatures w14:val="none"/>
        </w:rPr>
        <w:t xml:space="preserve">nvestigators must conduct risk assessments and submit information to IBC in the form prescribed by the committee. IBC approval will be in writing to the </w:t>
      </w:r>
      <w:r w:rsidR="00463218">
        <w:rPr>
          <w:rFonts w:eastAsia="Calibri" w:cs="Times New Roman"/>
          <w:bCs/>
          <w:kern w:val="0"/>
          <w:sz w:val="22"/>
          <w:szCs w:val="22"/>
          <w14:ligatures w14:val="none"/>
        </w:rPr>
        <w:t>P</w:t>
      </w:r>
      <w:r w:rsidRPr="00701C7E">
        <w:rPr>
          <w:rFonts w:eastAsia="Calibri" w:cs="Times New Roman"/>
          <w:bCs/>
          <w:kern w:val="0"/>
          <w:sz w:val="22"/>
          <w:szCs w:val="22"/>
          <w14:ligatures w14:val="none"/>
        </w:rPr>
        <w:t xml:space="preserve">rincipal </w:t>
      </w:r>
      <w:r w:rsidR="00463218">
        <w:rPr>
          <w:rFonts w:eastAsia="Calibri" w:cs="Times New Roman"/>
          <w:bCs/>
          <w:kern w:val="0"/>
          <w:sz w:val="22"/>
          <w:szCs w:val="22"/>
          <w14:ligatures w14:val="none"/>
        </w:rPr>
        <w:t>I</w:t>
      </w:r>
      <w:r w:rsidRPr="00701C7E">
        <w:rPr>
          <w:rFonts w:eastAsia="Calibri" w:cs="Times New Roman"/>
          <w:bCs/>
          <w:kern w:val="0"/>
          <w:sz w:val="22"/>
          <w:szCs w:val="22"/>
          <w14:ligatures w14:val="none"/>
        </w:rPr>
        <w:t>nvestigator (PI) once the application has been reviewed. All registration documents are approved for a period of three years. Continued activity past</w:t>
      </w:r>
      <w:r w:rsidR="00580E70">
        <w:rPr>
          <w:rFonts w:eastAsia="Calibri" w:cs="Times New Roman"/>
          <w:bCs/>
          <w:kern w:val="0"/>
          <w:sz w:val="22"/>
          <w:szCs w:val="22"/>
          <w14:ligatures w14:val="none"/>
        </w:rPr>
        <w:t xml:space="preserve"> the</w:t>
      </w:r>
      <w:r w:rsidRPr="00701C7E">
        <w:rPr>
          <w:rFonts w:eastAsia="Calibri" w:cs="Times New Roman"/>
          <w:bCs/>
          <w:kern w:val="0"/>
          <w:sz w:val="22"/>
          <w:szCs w:val="22"/>
          <w14:ligatures w14:val="none"/>
        </w:rPr>
        <w:t xml:space="preserve"> three years will require a new registration document to be submitted to the IBC. However, the annual review form needs to be submitted every year.</w:t>
      </w:r>
    </w:p>
    <w:p w14:paraId="2EE19EC8" w14:textId="77777777" w:rsidR="008C67EE" w:rsidRPr="008835FA" w:rsidRDefault="008C67EE" w:rsidP="008835FA">
      <w:pPr>
        <w:rPr>
          <w:rFonts w:eastAsia="Calibri" w:cs="Times New Roman"/>
          <w:b/>
          <w:kern w:val="0"/>
          <w:sz w:val="22"/>
          <w:szCs w:val="22"/>
          <w14:ligatures w14:val="none"/>
        </w:rPr>
      </w:pPr>
      <w:r w:rsidRPr="008835FA">
        <w:rPr>
          <w:rFonts w:eastAsia="Calibri" w:cs="Times New Roman"/>
          <w:b/>
          <w:kern w:val="0"/>
          <w:sz w:val="22"/>
          <w:szCs w:val="22"/>
          <w14:ligatures w14:val="none"/>
        </w:rPr>
        <w:t>Registration and Approval Process</w:t>
      </w:r>
    </w:p>
    <w:p w14:paraId="167CC328" w14:textId="1F24790E" w:rsidR="008C67EE" w:rsidRPr="008835FA" w:rsidRDefault="008C67EE" w:rsidP="008835FA">
      <w:pPr>
        <w:rPr>
          <w:rFonts w:eastAsia="Calibri" w:cs="Times New Roman"/>
          <w:kern w:val="0"/>
          <w:sz w:val="22"/>
          <w:szCs w:val="22"/>
          <w14:ligatures w14:val="none"/>
        </w:rPr>
      </w:pPr>
      <w:r w:rsidRPr="008835FA">
        <w:rPr>
          <w:rFonts w:eastAsia="Calibri" w:cs="Times New Roman"/>
          <w:kern w:val="0"/>
          <w:sz w:val="22"/>
          <w:szCs w:val="22"/>
          <w14:ligatures w14:val="none"/>
        </w:rPr>
        <w:t xml:space="preserve">Each Principal Investigator (PI) is responsible for the preparation of an IBC Registration Document using the Novelution system. This document will include relevant information from the protocol such as a description of the project, dual use concerns, </w:t>
      </w:r>
      <w:r w:rsidR="005E4125">
        <w:rPr>
          <w:rFonts w:eastAsia="Calibri" w:cs="Times New Roman"/>
          <w:kern w:val="0"/>
          <w:sz w:val="22"/>
          <w:szCs w:val="22"/>
          <w14:ligatures w14:val="none"/>
        </w:rPr>
        <w:t xml:space="preserve">members of the </w:t>
      </w:r>
      <w:r w:rsidRPr="008835FA">
        <w:rPr>
          <w:rFonts w:eastAsia="Calibri" w:cs="Times New Roman"/>
          <w:kern w:val="0"/>
          <w:sz w:val="22"/>
          <w:szCs w:val="22"/>
          <w14:ligatures w14:val="none"/>
        </w:rPr>
        <w:t xml:space="preserve">research team, biological agents and materials being used, safety measures, waste management, and additional documentation (i.e., Lab Specific Manual, SOPs, SDS, Permits). For a video on </w:t>
      </w:r>
      <w:r w:rsidRPr="008835FA">
        <w:rPr>
          <w:rFonts w:eastAsia="Calibri" w:cs="Times New Roman"/>
          <w:i/>
          <w:iCs/>
          <w:kern w:val="0"/>
          <w:sz w:val="22"/>
          <w:szCs w:val="22"/>
          <w14:ligatures w14:val="none"/>
        </w:rPr>
        <w:t>Creating a Proposal in Novelution</w:t>
      </w:r>
      <w:r w:rsidRPr="008835FA">
        <w:rPr>
          <w:rFonts w:eastAsia="Calibri" w:cs="Times New Roman"/>
          <w:kern w:val="0"/>
          <w:sz w:val="22"/>
          <w:szCs w:val="22"/>
          <w14:ligatures w14:val="none"/>
        </w:rPr>
        <w:t xml:space="preserve"> and other resources see: </w:t>
      </w:r>
      <w:hyperlink r:id="rId27" w:history="1">
        <w:r w:rsidR="00983C59" w:rsidRPr="00580E70">
          <w:rPr>
            <w:rStyle w:val="Hyperlink"/>
            <w:color w:val="215E99" w:themeColor="text2" w:themeTint="BF"/>
            <w:sz w:val="22"/>
            <w:szCs w:val="22"/>
          </w:rPr>
          <w:t>https://ndus.yuja.com/V/Video?v=4995239&amp;node=17084951&amp;a=642591901&amp;autoplay=1</w:t>
        </w:r>
      </w:hyperlink>
      <w:r w:rsidR="00983C59">
        <w:t xml:space="preserve"> </w:t>
      </w:r>
      <w:r w:rsidRPr="008835FA">
        <w:rPr>
          <w:rFonts w:eastAsia="Calibri" w:cs="Times New Roman"/>
          <w:kern w:val="0"/>
          <w:sz w:val="22"/>
          <w:szCs w:val="22"/>
          <w14:ligatures w14:val="none"/>
        </w:rPr>
        <w:t xml:space="preserve"> </w:t>
      </w:r>
    </w:p>
    <w:p w14:paraId="7B928C67" w14:textId="35FF750C" w:rsidR="008C67EE" w:rsidRPr="008835FA" w:rsidRDefault="008C67EE" w:rsidP="008835FA">
      <w:pPr>
        <w:rPr>
          <w:rFonts w:eastAsia="Calibri" w:cs="Times New Roman"/>
          <w:kern w:val="0"/>
          <w:sz w:val="22"/>
          <w:szCs w:val="22"/>
          <w14:ligatures w14:val="none"/>
        </w:rPr>
      </w:pPr>
      <w:r w:rsidRPr="008835FA">
        <w:rPr>
          <w:rFonts w:eastAsia="Calibri" w:cs="Times New Roman"/>
          <w:kern w:val="0"/>
          <w:sz w:val="22"/>
          <w:szCs w:val="22"/>
          <w14:ligatures w14:val="none"/>
        </w:rPr>
        <w:t>This document is required for research involving:</w:t>
      </w:r>
    </w:p>
    <w:p w14:paraId="40214F71" w14:textId="77777777" w:rsidR="008C67EE" w:rsidRPr="00275D53" w:rsidRDefault="008C67EE" w:rsidP="000A313A">
      <w:pPr>
        <w:pStyle w:val="ListParagraph"/>
        <w:numPr>
          <w:ilvl w:val="0"/>
          <w:numId w:val="37"/>
        </w:numPr>
        <w:rPr>
          <w:rFonts w:eastAsia="Calibri" w:cs="Times New Roman"/>
          <w:kern w:val="0"/>
          <w:sz w:val="22"/>
          <w:szCs w:val="22"/>
          <w14:ligatures w14:val="none"/>
        </w:rPr>
      </w:pPr>
      <w:r w:rsidRPr="00275D53">
        <w:rPr>
          <w:rFonts w:eastAsia="Calibri" w:cs="Times New Roman"/>
          <w:kern w:val="0"/>
          <w:sz w:val="22"/>
          <w:szCs w:val="22"/>
          <w14:ligatures w14:val="none"/>
        </w:rPr>
        <w:t>Recombinant DNA, including experiments that are specifically exempt under the NIH Guidelines</w:t>
      </w:r>
    </w:p>
    <w:p w14:paraId="58F17DFD" w14:textId="77777777" w:rsidR="008C67EE" w:rsidRPr="00275D53" w:rsidRDefault="008C67EE" w:rsidP="000A313A">
      <w:pPr>
        <w:pStyle w:val="ListParagraph"/>
        <w:numPr>
          <w:ilvl w:val="0"/>
          <w:numId w:val="37"/>
        </w:numPr>
        <w:rPr>
          <w:rFonts w:eastAsia="Calibri" w:cs="Times New Roman"/>
          <w:kern w:val="0"/>
          <w:sz w:val="22"/>
          <w:szCs w:val="22"/>
          <w14:ligatures w14:val="none"/>
        </w:rPr>
      </w:pPr>
      <w:r w:rsidRPr="00275D53">
        <w:rPr>
          <w:rFonts w:eastAsia="Calibri" w:cs="Times New Roman"/>
          <w:kern w:val="0"/>
          <w:sz w:val="22"/>
          <w:szCs w:val="22"/>
          <w14:ligatures w14:val="none"/>
        </w:rPr>
        <w:t>Infectious Agents (Bacteria, Eukaryotic Pathogens, Protozoa or Viruses pathogenic to plants and animals) PCR, Extraction of DNA</w:t>
      </w:r>
    </w:p>
    <w:p w14:paraId="437B27E1" w14:textId="77777777" w:rsidR="008C67EE" w:rsidRPr="00275D53" w:rsidRDefault="008C67EE" w:rsidP="000A313A">
      <w:pPr>
        <w:pStyle w:val="ListParagraph"/>
        <w:numPr>
          <w:ilvl w:val="0"/>
          <w:numId w:val="37"/>
        </w:numPr>
        <w:rPr>
          <w:rFonts w:eastAsia="Calibri" w:cs="Times New Roman"/>
          <w:kern w:val="0"/>
          <w:sz w:val="22"/>
          <w:szCs w:val="22"/>
          <w14:ligatures w14:val="none"/>
        </w:rPr>
      </w:pPr>
      <w:r w:rsidRPr="00275D53">
        <w:rPr>
          <w:rFonts w:eastAsia="Calibri" w:cs="Times New Roman"/>
          <w:kern w:val="0"/>
          <w:sz w:val="22"/>
          <w:szCs w:val="22"/>
          <w14:ligatures w14:val="none"/>
        </w:rPr>
        <w:t>Toxins</w:t>
      </w:r>
    </w:p>
    <w:p w14:paraId="66B5BBD3" w14:textId="77777777" w:rsidR="008C67EE" w:rsidRPr="00275D53" w:rsidRDefault="008C67EE" w:rsidP="000A313A">
      <w:pPr>
        <w:pStyle w:val="ListParagraph"/>
        <w:numPr>
          <w:ilvl w:val="0"/>
          <w:numId w:val="37"/>
        </w:numPr>
        <w:rPr>
          <w:rFonts w:eastAsia="Calibri" w:cs="Times New Roman"/>
          <w:kern w:val="0"/>
          <w:sz w:val="22"/>
          <w:szCs w:val="22"/>
          <w14:ligatures w14:val="none"/>
        </w:rPr>
      </w:pPr>
      <w:r w:rsidRPr="00275D53">
        <w:rPr>
          <w:rFonts w:eastAsia="Calibri" w:cs="Times New Roman"/>
          <w:kern w:val="0"/>
          <w:sz w:val="22"/>
          <w:szCs w:val="22"/>
          <w14:ligatures w14:val="none"/>
        </w:rPr>
        <w:t>Tumorigenic Material</w:t>
      </w:r>
    </w:p>
    <w:p w14:paraId="64F38CBB" w14:textId="77777777" w:rsidR="008C67EE" w:rsidRPr="00275D53" w:rsidRDefault="008C67EE" w:rsidP="000A313A">
      <w:pPr>
        <w:pStyle w:val="ListParagraph"/>
        <w:numPr>
          <w:ilvl w:val="0"/>
          <w:numId w:val="37"/>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Human Blood/Tissue/Cell Lines </w:t>
      </w:r>
    </w:p>
    <w:p w14:paraId="6E6ABE2B" w14:textId="77777777" w:rsidR="008C67EE" w:rsidRPr="00275D53" w:rsidRDefault="008C67EE" w:rsidP="000A313A">
      <w:pPr>
        <w:pStyle w:val="ListParagraph"/>
        <w:numPr>
          <w:ilvl w:val="0"/>
          <w:numId w:val="37"/>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Vertebrate Animal Usage </w:t>
      </w:r>
    </w:p>
    <w:p w14:paraId="100E6877" w14:textId="6D6EA9DE" w:rsidR="008C67EE" w:rsidRPr="00275D53" w:rsidRDefault="008C67EE" w:rsidP="000A313A">
      <w:pPr>
        <w:pStyle w:val="ListParagraph"/>
        <w:numPr>
          <w:ilvl w:val="0"/>
          <w:numId w:val="37"/>
        </w:numPr>
        <w:rPr>
          <w:rFonts w:eastAsia="Calibri" w:cs="Times New Roman"/>
          <w:kern w:val="0"/>
          <w:sz w:val="22"/>
          <w:szCs w:val="22"/>
          <w14:ligatures w14:val="none"/>
        </w:rPr>
      </w:pPr>
      <w:r w:rsidRPr="00275D53">
        <w:rPr>
          <w:rFonts w:eastAsia="Calibri" w:cs="Times New Roman"/>
          <w:kern w:val="0"/>
          <w:sz w:val="22"/>
          <w:szCs w:val="22"/>
          <w14:ligatures w14:val="none"/>
        </w:rPr>
        <w:t xml:space="preserve">Plant or Animal Pathogens (bacterial, viral, fungal, parasitic, protozoan, etc.), viral vectors, naturally- occurring plant or animal toxins, or other potentially infectious </w:t>
      </w:r>
      <w:r w:rsidR="00353560" w:rsidRPr="00275D53">
        <w:rPr>
          <w:rFonts w:eastAsia="Calibri" w:cs="Times New Roman"/>
          <w:kern w:val="0"/>
          <w:sz w:val="22"/>
          <w:szCs w:val="22"/>
          <w14:ligatures w14:val="none"/>
        </w:rPr>
        <w:t>agents.</w:t>
      </w:r>
    </w:p>
    <w:p w14:paraId="13CA65FD" w14:textId="77777777" w:rsidR="008C67EE" w:rsidRPr="00275D53" w:rsidRDefault="008C67EE" w:rsidP="000A313A">
      <w:pPr>
        <w:pStyle w:val="ListParagraph"/>
        <w:numPr>
          <w:ilvl w:val="0"/>
          <w:numId w:val="37"/>
        </w:numPr>
        <w:rPr>
          <w:rFonts w:eastAsia="Calibri" w:cs="Times New Roman"/>
          <w:kern w:val="0"/>
          <w:sz w:val="22"/>
          <w:szCs w:val="22"/>
          <w14:ligatures w14:val="none"/>
        </w:rPr>
      </w:pPr>
      <w:r w:rsidRPr="00275D53">
        <w:rPr>
          <w:rFonts w:eastAsia="Calibri" w:cs="Times New Roman"/>
          <w:kern w:val="0"/>
          <w:sz w:val="22"/>
          <w:szCs w:val="22"/>
          <w14:ligatures w14:val="none"/>
        </w:rPr>
        <w:t>Plants / Plant Parts / Algae</w:t>
      </w:r>
    </w:p>
    <w:p w14:paraId="56B75CB2" w14:textId="77777777" w:rsidR="008C67EE" w:rsidRPr="00275D53" w:rsidRDefault="008C67EE" w:rsidP="000A313A">
      <w:pPr>
        <w:pStyle w:val="ListParagraph"/>
        <w:numPr>
          <w:ilvl w:val="0"/>
          <w:numId w:val="37"/>
        </w:numPr>
        <w:rPr>
          <w:rFonts w:eastAsia="Calibri" w:cs="Times New Roman"/>
          <w:kern w:val="0"/>
          <w:sz w:val="22"/>
          <w:szCs w:val="22"/>
          <w14:ligatures w14:val="none"/>
        </w:rPr>
      </w:pPr>
      <w:r w:rsidRPr="00275D53">
        <w:rPr>
          <w:rFonts w:eastAsia="Calibri" w:cs="Times New Roman"/>
          <w:kern w:val="0"/>
          <w:sz w:val="22"/>
          <w:szCs w:val="22"/>
          <w14:ligatures w14:val="none"/>
        </w:rPr>
        <w:t>Radioisotopes</w:t>
      </w:r>
    </w:p>
    <w:p w14:paraId="720630B8" w14:textId="77777777" w:rsidR="008C67EE" w:rsidRPr="008835FA" w:rsidRDefault="008C67EE" w:rsidP="008835FA">
      <w:pPr>
        <w:rPr>
          <w:rFonts w:eastAsia="Calibri" w:cs="Times New Roman"/>
          <w:kern w:val="0"/>
          <w:sz w:val="22"/>
          <w:szCs w:val="22"/>
          <w14:ligatures w14:val="none"/>
        </w:rPr>
      </w:pPr>
      <w:r w:rsidRPr="008835FA">
        <w:rPr>
          <w:rFonts w:eastAsia="Calibri" w:cs="Times New Roman"/>
          <w:kern w:val="0"/>
          <w:sz w:val="22"/>
          <w:szCs w:val="22"/>
          <w14:ligatures w14:val="none"/>
        </w:rPr>
        <w:t>The IBC or a designated member review (DMR) IBC subcommittee will then review the application at its earliest convenience. The IBC or DMR may request additional information from the PI to aid in the review of the proposal. Incomplete applications may be returned to the PI. The PI will receive notification of IBC review and determination of approval or denial. If the notification letter indicates a conditional approval, it will also indicate actions or information that the IBC must receive before final approval notification can be issued.</w:t>
      </w:r>
    </w:p>
    <w:p w14:paraId="6465D213" w14:textId="77777777" w:rsidR="008C67EE" w:rsidRPr="008835FA" w:rsidRDefault="008C67EE" w:rsidP="008835FA">
      <w:pPr>
        <w:rPr>
          <w:rFonts w:eastAsia="Calibri" w:cs="Times New Roman"/>
          <w:kern w:val="0"/>
          <w:sz w:val="22"/>
          <w:szCs w:val="22"/>
          <w14:ligatures w14:val="none"/>
        </w:rPr>
      </w:pPr>
      <w:r w:rsidRPr="008835FA">
        <w:rPr>
          <w:rFonts w:eastAsia="Calibri" w:cs="Times New Roman"/>
          <w:kern w:val="0"/>
          <w:sz w:val="22"/>
          <w:szCs w:val="22"/>
          <w14:ligatures w14:val="none"/>
        </w:rPr>
        <w:t>Projects may be subject to other UND approvals such as IRB, Institutional Animal Care and Use Committee (IACUC), DURC. If the project involves animals, IACUC approval is always required prior to project initiation.</w:t>
      </w:r>
    </w:p>
    <w:p w14:paraId="2D881D00" w14:textId="5F854D5A" w:rsidR="0014205E" w:rsidRPr="00275D53" w:rsidRDefault="0014205E" w:rsidP="00275D53">
      <w:pPr>
        <w:autoSpaceDE w:val="0"/>
        <w:autoSpaceDN w:val="0"/>
        <w:adjustRightInd w:val="0"/>
        <w:spacing w:after="0" w:line="240" w:lineRule="auto"/>
        <w:rPr>
          <w:rFonts w:ascii="Aptos" w:eastAsia="Calibri" w:hAnsi="Aptos" w:cs="Times New Roman"/>
          <w:b/>
          <w:bCs/>
          <w:kern w:val="0"/>
          <w:sz w:val="22"/>
          <w:szCs w:val="22"/>
          <w14:ligatures w14:val="none"/>
        </w:rPr>
      </w:pPr>
      <w:r w:rsidRPr="00275D53">
        <w:rPr>
          <w:rFonts w:ascii="Aptos" w:eastAsia="Calibri" w:hAnsi="Aptos" w:cs="Times New Roman"/>
          <w:b/>
          <w:bCs/>
          <w:kern w:val="0"/>
          <w:sz w:val="22"/>
          <w:szCs w:val="22"/>
          <w14:ligatures w14:val="none"/>
        </w:rPr>
        <w:lastRenderedPageBreak/>
        <w:t>NIH Guidelines for Research Involving Recombinant or Synthetic Nucleic Acid Molecules</w:t>
      </w:r>
    </w:p>
    <w:tbl>
      <w:tblPr>
        <w:tblStyle w:val="TableGrid2"/>
        <w:tblW w:w="9355" w:type="dxa"/>
        <w:tblLook w:val="04A0" w:firstRow="1" w:lastRow="0" w:firstColumn="1" w:lastColumn="0" w:noHBand="0" w:noVBand="1"/>
      </w:tblPr>
      <w:tblGrid>
        <w:gridCol w:w="1336"/>
        <w:gridCol w:w="6798"/>
        <w:gridCol w:w="681"/>
        <w:gridCol w:w="540"/>
      </w:tblGrid>
      <w:tr w:rsidR="0014205E" w:rsidRPr="0014205E" w14:paraId="23BB8179" w14:textId="77777777" w:rsidTr="006F6990">
        <w:trPr>
          <w:cantSplit/>
          <w:trHeight w:val="638"/>
          <w:tblHeader/>
        </w:trPr>
        <w:tc>
          <w:tcPr>
            <w:tcW w:w="1336" w:type="dxa"/>
            <w:shd w:val="clear" w:color="auto" w:fill="59A56D"/>
            <w:vAlign w:val="center"/>
          </w:tcPr>
          <w:p w14:paraId="59CD678F" w14:textId="77777777" w:rsidR="0014205E" w:rsidRPr="006F6990" w:rsidRDefault="0014205E" w:rsidP="0014205E">
            <w:pPr>
              <w:autoSpaceDE w:val="0"/>
              <w:autoSpaceDN w:val="0"/>
              <w:adjustRightInd w:val="0"/>
              <w:jc w:val="center"/>
              <w:rPr>
                <w:rFonts w:ascii="Aptos" w:eastAsia="Calibri" w:hAnsi="Aptos" w:cs="Times New Roman"/>
                <w:b/>
                <w:bCs/>
                <w:color w:val="FFFFFF" w:themeColor="background1"/>
              </w:rPr>
            </w:pPr>
            <w:r w:rsidRPr="006F6990">
              <w:rPr>
                <w:rFonts w:ascii="Aptos" w:eastAsia="Calibri" w:hAnsi="Aptos" w:cs="Times New Roman"/>
                <w:b/>
                <w:bCs/>
                <w:color w:val="FFFFFF" w:themeColor="background1"/>
              </w:rPr>
              <w:t>NIH GUIDELINE</w:t>
            </w:r>
          </w:p>
        </w:tc>
        <w:tc>
          <w:tcPr>
            <w:tcW w:w="6798" w:type="dxa"/>
            <w:shd w:val="clear" w:color="auto" w:fill="59A56D"/>
            <w:vAlign w:val="center"/>
          </w:tcPr>
          <w:p w14:paraId="380ABBA1" w14:textId="77777777" w:rsidR="0014205E" w:rsidRPr="006F6990" w:rsidRDefault="0014205E" w:rsidP="0014205E">
            <w:pPr>
              <w:autoSpaceDE w:val="0"/>
              <w:autoSpaceDN w:val="0"/>
              <w:adjustRightInd w:val="0"/>
              <w:jc w:val="center"/>
              <w:rPr>
                <w:rFonts w:ascii="Aptos" w:eastAsia="Calibri" w:hAnsi="Aptos" w:cs="Times New Roman"/>
                <w:b/>
                <w:bCs/>
                <w:color w:val="FFFFFF" w:themeColor="background1"/>
              </w:rPr>
            </w:pPr>
            <w:r w:rsidRPr="006F6990">
              <w:rPr>
                <w:rFonts w:ascii="Aptos" w:eastAsia="Calibri" w:hAnsi="Aptos" w:cs="Times New Roman"/>
                <w:b/>
                <w:bCs/>
                <w:color w:val="FFFFFF" w:themeColor="background1"/>
              </w:rPr>
              <w:t>DESCRIPTION</w:t>
            </w:r>
          </w:p>
        </w:tc>
        <w:tc>
          <w:tcPr>
            <w:tcW w:w="681" w:type="dxa"/>
            <w:shd w:val="clear" w:color="auto" w:fill="59A56D"/>
            <w:textDirection w:val="tbRl"/>
            <w:vAlign w:val="center"/>
          </w:tcPr>
          <w:p w14:paraId="0ECCF1CC" w14:textId="77777777" w:rsidR="0014205E" w:rsidRPr="006F6990" w:rsidRDefault="0014205E" w:rsidP="0014205E">
            <w:pPr>
              <w:autoSpaceDE w:val="0"/>
              <w:autoSpaceDN w:val="0"/>
              <w:adjustRightInd w:val="0"/>
              <w:ind w:left="113" w:right="113"/>
              <w:jc w:val="center"/>
              <w:rPr>
                <w:rFonts w:ascii="Aptos" w:eastAsia="Calibri" w:hAnsi="Aptos" w:cs="Times New Roman"/>
                <w:b/>
                <w:bCs/>
                <w:color w:val="FFFFFF" w:themeColor="background1"/>
              </w:rPr>
            </w:pPr>
            <w:r w:rsidRPr="006F6990">
              <w:rPr>
                <w:rFonts w:ascii="Aptos" w:eastAsia="Calibri" w:hAnsi="Aptos" w:cs="Times New Roman"/>
                <w:b/>
                <w:bCs/>
                <w:color w:val="FFFFFF" w:themeColor="background1"/>
              </w:rPr>
              <w:t>NIH</w:t>
            </w:r>
          </w:p>
        </w:tc>
        <w:tc>
          <w:tcPr>
            <w:tcW w:w="540" w:type="dxa"/>
            <w:shd w:val="clear" w:color="auto" w:fill="59A56D"/>
            <w:textDirection w:val="tbRl"/>
            <w:vAlign w:val="center"/>
          </w:tcPr>
          <w:p w14:paraId="6764DE92" w14:textId="77777777" w:rsidR="0014205E" w:rsidRPr="006F6990" w:rsidRDefault="0014205E" w:rsidP="0014205E">
            <w:pPr>
              <w:autoSpaceDE w:val="0"/>
              <w:autoSpaceDN w:val="0"/>
              <w:adjustRightInd w:val="0"/>
              <w:ind w:left="113" w:right="113"/>
              <w:jc w:val="center"/>
              <w:rPr>
                <w:rFonts w:ascii="Aptos" w:eastAsia="Calibri" w:hAnsi="Aptos" w:cs="Times New Roman"/>
                <w:b/>
                <w:bCs/>
                <w:color w:val="FFFFFF" w:themeColor="background1"/>
              </w:rPr>
            </w:pPr>
            <w:r w:rsidRPr="006F6990">
              <w:rPr>
                <w:rFonts w:ascii="Aptos" w:eastAsia="Calibri" w:hAnsi="Aptos" w:cs="Times New Roman"/>
                <w:b/>
                <w:bCs/>
                <w:color w:val="FFFFFF" w:themeColor="background1"/>
              </w:rPr>
              <w:t>IBC</w:t>
            </w:r>
          </w:p>
        </w:tc>
      </w:tr>
      <w:tr w:rsidR="0014205E" w:rsidRPr="0014205E" w14:paraId="494B5C15" w14:textId="77777777" w:rsidTr="001A2B42">
        <w:trPr>
          <w:cantSplit/>
          <w:trHeight w:val="1134"/>
        </w:trPr>
        <w:tc>
          <w:tcPr>
            <w:tcW w:w="1336" w:type="dxa"/>
          </w:tcPr>
          <w:p w14:paraId="6B62D127" w14:textId="77777777" w:rsidR="0014205E" w:rsidRPr="0014205E" w:rsidRDefault="0014205E" w:rsidP="0014205E">
            <w:pPr>
              <w:autoSpaceDE w:val="0"/>
              <w:autoSpaceDN w:val="0"/>
              <w:adjustRightInd w:val="0"/>
              <w:jc w:val="center"/>
              <w:rPr>
                <w:rFonts w:ascii="Aptos" w:eastAsia="Calibri" w:hAnsi="Aptos" w:cs="Times New Roman"/>
              </w:rPr>
            </w:pPr>
            <w:r w:rsidRPr="0014205E">
              <w:rPr>
                <w:rFonts w:ascii="Aptos" w:eastAsia="Calibri" w:hAnsi="Aptos" w:cs="Times New Roman"/>
              </w:rPr>
              <w:t>III-A</w:t>
            </w:r>
          </w:p>
        </w:tc>
        <w:tc>
          <w:tcPr>
            <w:tcW w:w="6798" w:type="dxa"/>
          </w:tcPr>
          <w:p w14:paraId="48FEA8F9" w14:textId="77777777" w:rsidR="0014205E" w:rsidRPr="0014205E" w:rsidRDefault="0014205E" w:rsidP="0014205E">
            <w:pPr>
              <w:autoSpaceDE w:val="0"/>
              <w:autoSpaceDN w:val="0"/>
              <w:adjustRightInd w:val="0"/>
              <w:rPr>
                <w:rFonts w:ascii="Aptos" w:eastAsia="Calibri" w:hAnsi="Aptos" w:cs="Times New Roman"/>
              </w:rPr>
            </w:pPr>
            <w:r w:rsidRPr="0014205E">
              <w:rPr>
                <w:rFonts w:ascii="Aptos" w:eastAsia="Calibri" w:hAnsi="Aptos" w:cs="Times New Roman"/>
              </w:rPr>
              <w:t xml:space="preserve"> Major Actions under the NIH Guidelines.</w:t>
            </w:r>
          </w:p>
          <w:p w14:paraId="209A88EF" w14:textId="77777777" w:rsidR="0014205E" w:rsidRDefault="0014205E" w:rsidP="000A313A">
            <w:pPr>
              <w:numPr>
                <w:ilvl w:val="0"/>
                <w:numId w:val="20"/>
              </w:numPr>
              <w:autoSpaceDE w:val="0"/>
              <w:autoSpaceDN w:val="0"/>
              <w:adjustRightInd w:val="0"/>
              <w:contextualSpacing/>
              <w:rPr>
                <w:rFonts w:ascii="Aptos" w:eastAsia="Calibri" w:hAnsi="Aptos" w:cs="Times New Roman"/>
              </w:rPr>
            </w:pPr>
            <w:r w:rsidRPr="0014205E">
              <w:rPr>
                <w:rFonts w:ascii="Aptos" w:eastAsia="Calibri" w:hAnsi="Aptos" w:cs="Times New Roman"/>
              </w:rPr>
              <w:t>The deliberate transfer of a drug-resistant trait to microorganisms that are not known to acquire the trait naturally, if such acquisition could compromise the ability to control disease agents in humans, veterinary medicine, or agriculture, will require NIH Director approval.</w:t>
            </w:r>
          </w:p>
          <w:p w14:paraId="1836E2E8" w14:textId="13900F5A" w:rsidR="00580E70" w:rsidRPr="007E3CA4" w:rsidRDefault="00580E70" w:rsidP="00580E70">
            <w:pPr>
              <w:autoSpaceDE w:val="0"/>
              <w:autoSpaceDN w:val="0"/>
              <w:adjustRightInd w:val="0"/>
              <w:ind w:left="360"/>
              <w:contextualSpacing/>
              <w:rPr>
                <w:rFonts w:ascii="Aptos" w:eastAsia="Calibri" w:hAnsi="Aptos" w:cs="Times New Roman"/>
              </w:rPr>
            </w:pPr>
          </w:p>
        </w:tc>
        <w:tc>
          <w:tcPr>
            <w:tcW w:w="681" w:type="dxa"/>
            <w:textDirection w:val="tbRl"/>
          </w:tcPr>
          <w:p w14:paraId="0CAB91C3" w14:textId="77777777" w:rsidR="0014205E" w:rsidRPr="0014205E" w:rsidRDefault="0014205E" w:rsidP="0014205E">
            <w:pPr>
              <w:autoSpaceDE w:val="0"/>
              <w:autoSpaceDN w:val="0"/>
              <w:adjustRightInd w:val="0"/>
              <w:ind w:left="113" w:right="113"/>
              <w:jc w:val="center"/>
              <w:rPr>
                <w:rFonts w:ascii="Aptos" w:eastAsia="Calibri" w:hAnsi="Aptos" w:cs="Times New Roman"/>
                <w:b/>
                <w:bCs/>
              </w:rPr>
            </w:pPr>
            <w:r w:rsidRPr="0014205E">
              <w:rPr>
                <w:rFonts w:ascii="Aptos" w:eastAsia="Calibri" w:hAnsi="Aptos" w:cs="Times New Roman"/>
                <w:b/>
                <w:bCs/>
              </w:rPr>
              <w:sym w:font="Symbol" w:char="F0D6"/>
            </w:r>
            <w:r w:rsidRPr="0014205E">
              <w:rPr>
                <w:rFonts w:ascii="Aptos" w:eastAsia="Calibri" w:hAnsi="Aptos" w:cs="Times New Roman"/>
                <w:b/>
                <w:bCs/>
              </w:rPr>
              <w:t xml:space="preserve"> Director</w:t>
            </w:r>
          </w:p>
        </w:tc>
        <w:tc>
          <w:tcPr>
            <w:tcW w:w="540" w:type="dxa"/>
          </w:tcPr>
          <w:p w14:paraId="2D039126" w14:textId="77777777" w:rsidR="0014205E" w:rsidRPr="0014205E" w:rsidRDefault="0014205E" w:rsidP="0014205E">
            <w:pPr>
              <w:autoSpaceDE w:val="0"/>
              <w:autoSpaceDN w:val="0"/>
              <w:adjustRightInd w:val="0"/>
              <w:jc w:val="center"/>
              <w:rPr>
                <w:rFonts w:ascii="Aptos" w:eastAsia="Calibri" w:hAnsi="Aptos" w:cs="Times New Roman"/>
                <w:b/>
                <w:bCs/>
              </w:rPr>
            </w:pPr>
          </w:p>
          <w:p w14:paraId="7CE43831" w14:textId="77777777" w:rsidR="0014205E" w:rsidRPr="0014205E" w:rsidRDefault="0014205E" w:rsidP="0014205E">
            <w:pPr>
              <w:autoSpaceDE w:val="0"/>
              <w:autoSpaceDN w:val="0"/>
              <w:adjustRightInd w:val="0"/>
              <w:jc w:val="center"/>
              <w:rPr>
                <w:rFonts w:ascii="Aptos" w:eastAsia="Calibri" w:hAnsi="Aptos" w:cs="Times New Roman"/>
                <w:b/>
                <w:bCs/>
              </w:rPr>
            </w:pPr>
          </w:p>
          <w:p w14:paraId="5A4CA463" w14:textId="77777777" w:rsidR="0014205E" w:rsidRPr="0014205E" w:rsidRDefault="0014205E" w:rsidP="0014205E">
            <w:pPr>
              <w:autoSpaceDE w:val="0"/>
              <w:autoSpaceDN w:val="0"/>
              <w:adjustRightInd w:val="0"/>
              <w:jc w:val="center"/>
              <w:rPr>
                <w:rFonts w:ascii="Aptos" w:eastAsia="Calibri" w:hAnsi="Aptos" w:cs="Times New Roman"/>
                <w:b/>
                <w:bCs/>
              </w:rPr>
            </w:pPr>
            <w:r w:rsidRPr="0014205E">
              <w:rPr>
                <w:rFonts w:ascii="Aptos" w:eastAsia="Calibri" w:hAnsi="Aptos" w:cs="Times New Roman"/>
                <w:b/>
                <w:bCs/>
              </w:rPr>
              <w:sym w:font="Symbol" w:char="F0D6"/>
            </w:r>
          </w:p>
        </w:tc>
      </w:tr>
      <w:tr w:rsidR="0014205E" w:rsidRPr="0014205E" w14:paraId="2A331220" w14:textId="77777777" w:rsidTr="001A2B42">
        <w:trPr>
          <w:cantSplit/>
          <w:trHeight w:val="1134"/>
        </w:trPr>
        <w:tc>
          <w:tcPr>
            <w:tcW w:w="1336" w:type="dxa"/>
          </w:tcPr>
          <w:p w14:paraId="6B185D9B" w14:textId="77777777" w:rsidR="0014205E" w:rsidRPr="0014205E" w:rsidRDefault="0014205E" w:rsidP="0014205E">
            <w:pPr>
              <w:autoSpaceDE w:val="0"/>
              <w:autoSpaceDN w:val="0"/>
              <w:adjustRightInd w:val="0"/>
              <w:jc w:val="center"/>
              <w:rPr>
                <w:rFonts w:ascii="Aptos" w:eastAsia="Calibri" w:hAnsi="Aptos" w:cs="Times New Roman"/>
              </w:rPr>
            </w:pPr>
            <w:r w:rsidRPr="0014205E">
              <w:rPr>
                <w:rFonts w:ascii="Aptos" w:eastAsia="Calibri" w:hAnsi="Aptos" w:cs="Times New Roman"/>
              </w:rPr>
              <w:t>III-B</w:t>
            </w:r>
          </w:p>
        </w:tc>
        <w:tc>
          <w:tcPr>
            <w:tcW w:w="6798" w:type="dxa"/>
          </w:tcPr>
          <w:p w14:paraId="20CBE431" w14:textId="77777777" w:rsidR="0014205E" w:rsidRPr="0014205E" w:rsidRDefault="0014205E" w:rsidP="000A313A">
            <w:pPr>
              <w:numPr>
                <w:ilvl w:val="0"/>
                <w:numId w:val="20"/>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the cloning of toxin molecules with LD50 of less than 100 nanograms per kilogram body weight.</w:t>
            </w:r>
          </w:p>
          <w:p w14:paraId="5BA7A29F" w14:textId="77777777" w:rsidR="0014205E" w:rsidRDefault="0014205E" w:rsidP="000A313A">
            <w:pPr>
              <w:numPr>
                <w:ilvl w:val="0"/>
                <w:numId w:val="20"/>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that have been approved (under Section III-A-1-a) as Major Actions under the NIH Guidelines.</w:t>
            </w:r>
          </w:p>
          <w:p w14:paraId="5361FF4D" w14:textId="04A1A268" w:rsidR="00580E70" w:rsidRPr="007E3CA4" w:rsidRDefault="00580E70" w:rsidP="00580E70">
            <w:pPr>
              <w:autoSpaceDE w:val="0"/>
              <w:autoSpaceDN w:val="0"/>
              <w:adjustRightInd w:val="0"/>
              <w:ind w:left="360"/>
              <w:contextualSpacing/>
              <w:rPr>
                <w:rFonts w:ascii="Aptos" w:eastAsia="Calibri" w:hAnsi="Aptos" w:cs="Times New Roman"/>
              </w:rPr>
            </w:pPr>
          </w:p>
        </w:tc>
        <w:tc>
          <w:tcPr>
            <w:tcW w:w="681" w:type="dxa"/>
            <w:textDirection w:val="tbRl"/>
          </w:tcPr>
          <w:p w14:paraId="718C1A4A" w14:textId="77777777" w:rsidR="0014205E" w:rsidRPr="0014205E" w:rsidRDefault="0014205E" w:rsidP="0014205E">
            <w:pPr>
              <w:autoSpaceDE w:val="0"/>
              <w:autoSpaceDN w:val="0"/>
              <w:adjustRightInd w:val="0"/>
              <w:ind w:left="113" w:right="113"/>
              <w:jc w:val="center"/>
              <w:rPr>
                <w:rFonts w:ascii="Aptos" w:eastAsia="Calibri" w:hAnsi="Aptos" w:cs="Times New Roman"/>
              </w:rPr>
            </w:pPr>
            <w:r w:rsidRPr="0014205E">
              <w:rPr>
                <w:rFonts w:ascii="Aptos" w:eastAsia="Calibri" w:hAnsi="Aptos" w:cs="Times New Roman"/>
                <w:b/>
                <w:bCs/>
              </w:rPr>
              <w:sym w:font="Symbol" w:char="F0D6"/>
            </w:r>
            <w:r w:rsidRPr="0014205E">
              <w:rPr>
                <w:rFonts w:ascii="Aptos" w:eastAsia="Calibri" w:hAnsi="Aptos" w:cs="Times New Roman"/>
                <w:b/>
                <w:bCs/>
              </w:rPr>
              <w:t xml:space="preserve"> OSP</w:t>
            </w:r>
          </w:p>
        </w:tc>
        <w:tc>
          <w:tcPr>
            <w:tcW w:w="540" w:type="dxa"/>
          </w:tcPr>
          <w:p w14:paraId="26D9899D" w14:textId="77777777" w:rsidR="0014205E" w:rsidRPr="0014205E" w:rsidRDefault="0014205E" w:rsidP="0014205E">
            <w:pPr>
              <w:autoSpaceDE w:val="0"/>
              <w:autoSpaceDN w:val="0"/>
              <w:adjustRightInd w:val="0"/>
              <w:jc w:val="center"/>
              <w:rPr>
                <w:rFonts w:ascii="Aptos" w:eastAsia="Calibri" w:hAnsi="Aptos" w:cs="Times New Roman"/>
                <w:b/>
                <w:bCs/>
              </w:rPr>
            </w:pPr>
          </w:p>
          <w:p w14:paraId="028101EA" w14:textId="77777777" w:rsidR="0014205E" w:rsidRPr="0014205E" w:rsidRDefault="0014205E" w:rsidP="0014205E">
            <w:pPr>
              <w:autoSpaceDE w:val="0"/>
              <w:autoSpaceDN w:val="0"/>
              <w:adjustRightInd w:val="0"/>
              <w:jc w:val="center"/>
              <w:rPr>
                <w:rFonts w:ascii="Aptos" w:eastAsia="Calibri" w:hAnsi="Aptos" w:cs="Times New Roman"/>
              </w:rPr>
            </w:pPr>
            <w:r w:rsidRPr="0014205E">
              <w:rPr>
                <w:rFonts w:ascii="Aptos" w:eastAsia="Calibri" w:hAnsi="Aptos" w:cs="Times New Roman"/>
                <w:b/>
                <w:bCs/>
              </w:rPr>
              <w:sym w:font="Symbol" w:char="F0D6"/>
            </w:r>
          </w:p>
        </w:tc>
      </w:tr>
      <w:tr w:rsidR="0014205E" w:rsidRPr="0014205E" w14:paraId="688BF39E" w14:textId="77777777" w:rsidTr="001A2B42">
        <w:tc>
          <w:tcPr>
            <w:tcW w:w="1336" w:type="dxa"/>
          </w:tcPr>
          <w:p w14:paraId="044B1E3D" w14:textId="77777777" w:rsidR="0014205E" w:rsidRPr="0014205E" w:rsidRDefault="0014205E" w:rsidP="0014205E">
            <w:pPr>
              <w:autoSpaceDE w:val="0"/>
              <w:autoSpaceDN w:val="0"/>
              <w:adjustRightInd w:val="0"/>
              <w:jc w:val="center"/>
              <w:rPr>
                <w:rFonts w:ascii="Aptos" w:eastAsia="Calibri" w:hAnsi="Aptos" w:cs="Times New Roman"/>
              </w:rPr>
            </w:pPr>
            <w:r w:rsidRPr="0014205E">
              <w:rPr>
                <w:rFonts w:ascii="Aptos" w:eastAsia="Calibri" w:hAnsi="Aptos" w:cs="Times New Roman"/>
              </w:rPr>
              <w:t>III-C</w:t>
            </w:r>
          </w:p>
        </w:tc>
        <w:tc>
          <w:tcPr>
            <w:tcW w:w="6798" w:type="dxa"/>
          </w:tcPr>
          <w:p w14:paraId="000C743E" w14:textId="77777777" w:rsidR="0014205E" w:rsidRDefault="0014205E" w:rsidP="000A313A">
            <w:pPr>
              <w:numPr>
                <w:ilvl w:val="0"/>
                <w:numId w:val="21"/>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the Deliberate Transfer of Recombinant or Synthetic Nucleic Acid Molecules, or DNA or RNA Derived from Recombinant or Synthetic Nucleic Acid Molecules, into One or More Human Research Participants.</w:t>
            </w:r>
          </w:p>
          <w:p w14:paraId="63E001C0" w14:textId="54D9E78E" w:rsidR="00580E70" w:rsidRPr="007E3CA4" w:rsidRDefault="00580E70" w:rsidP="00580E70">
            <w:pPr>
              <w:autoSpaceDE w:val="0"/>
              <w:autoSpaceDN w:val="0"/>
              <w:adjustRightInd w:val="0"/>
              <w:ind w:left="360"/>
              <w:contextualSpacing/>
              <w:rPr>
                <w:rFonts w:ascii="Aptos" w:eastAsia="Calibri" w:hAnsi="Aptos" w:cs="Times New Roman"/>
              </w:rPr>
            </w:pPr>
          </w:p>
        </w:tc>
        <w:tc>
          <w:tcPr>
            <w:tcW w:w="681" w:type="dxa"/>
          </w:tcPr>
          <w:p w14:paraId="23B00EB9" w14:textId="77777777" w:rsidR="0014205E" w:rsidRPr="0014205E" w:rsidRDefault="0014205E" w:rsidP="0014205E">
            <w:pPr>
              <w:autoSpaceDE w:val="0"/>
              <w:autoSpaceDN w:val="0"/>
              <w:adjustRightInd w:val="0"/>
              <w:rPr>
                <w:rFonts w:ascii="Aptos" w:eastAsia="Calibri" w:hAnsi="Aptos" w:cs="Times New Roman"/>
              </w:rPr>
            </w:pPr>
          </w:p>
        </w:tc>
        <w:tc>
          <w:tcPr>
            <w:tcW w:w="540" w:type="dxa"/>
          </w:tcPr>
          <w:p w14:paraId="34319F3B" w14:textId="77777777" w:rsidR="0014205E" w:rsidRPr="0014205E" w:rsidRDefault="0014205E" w:rsidP="0014205E">
            <w:pPr>
              <w:autoSpaceDE w:val="0"/>
              <w:autoSpaceDN w:val="0"/>
              <w:adjustRightInd w:val="0"/>
              <w:jc w:val="center"/>
              <w:rPr>
                <w:rFonts w:ascii="Aptos" w:eastAsia="Calibri" w:hAnsi="Aptos" w:cs="Times New Roman"/>
                <w:b/>
                <w:bCs/>
              </w:rPr>
            </w:pPr>
          </w:p>
          <w:p w14:paraId="6EB673F8" w14:textId="77777777" w:rsidR="0014205E" w:rsidRPr="0014205E" w:rsidRDefault="0014205E" w:rsidP="0014205E">
            <w:pPr>
              <w:autoSpaceDE w:val="0"/>
              <w:autoSpaceDN w:val="0"/>
              <w:adjustRightInd w:val="0"/>
              <w:jc w:val="center"/>
              <w:rPr>
                <w:rFonts w:ascii="Aptos" w:eastAsia="Calibri" w:hAnsi="Aptos" w:cs="Times New Roman"/>
              </w:rPr>
            </w:pPr>
            <w:r w:rsidRPr="0014205E">
              <w:rPr>
                <w:rFonts w:ascii="Aptos" w:eastAsia="Calibri" w:hAnsi="Aptos" w:cs="Times New Roman"/>
                <w:b/>
                <w:bCs/>
              </w:rPr>
              <w:sym w:font="Symbol" w:char="F0D6"/>
            </w:r>
          </w:p>
        </w:tc>
      </w:tr>
      <w:tr w:rsidR="0014205E" w:rsidRPr="0014205E" w14:paraId="783E3E12" w14:textId="77777777" w:rsidTr="001A2B42">
        <w:tc>
          <w:tcPr>
            <w:tcW w:w="1336" w:type="dxa"/>
          </w:tcPr>
          <w:p w14:paraId="7B93CDA6" w14:textId="77777777" w:rsidR="0014205E" w:rsidRDefault="0014205E" w:rsidP="0014205E">
            <w:pPr>
              <w:autoSpaceDE w:val="0"/>
              <w:autoSpaceDN w:val="0"/>
              <w:adjustRightInd w:val="0"/>
              <w:jc w:val="center"/>
              <w:rPr>
                <w:rFonts w:ascii="Aptos" w:eastAsia="Calibri" w:hAnsi="Aptos" w:cs="Times New Roman"/>
              </w:rPr>
            </w:pPr>
            <w:r w:rsidRPr="0014205E">
              <w:rPr>
                <w:rFonts w:ascii="Aptos" w:eastAsia="Calibri" w:hAnsi="Aptos" w:cs="Times New Roman"/>
              </w:rPr>
              <w:t>III-D</w:t>
            </w:r>
          </w:p>
          <w:p w14:paraId="30289ABB" w14:textId="77777777" w:rsidR="00AC3A48" w:rsidRDefault="00AC3A48" w:rsidP="0014205E">
            <w:pPr>
              <w:autoSpaceDE w:val="0"/>
              <w:autoSpaceDN w:val="0"/>
              <w:adjustRightInd w:val="0"/>
              <w:jc w:val="center"/>
              <w:rPr>
                <w:rFonts w:ascii="Aptos" w:eastAsia="Calibri" w:hAnsi="Aptos" w:cs="Times New Roman"/>
              </w:rPr>
            </w:pPr>
          </w:p>
          <w:p w14:paraId="3A966042" w14:textId="77777777" w:rsidR="00AC3A48" w:rsidRDefault="00AC3A48" w:rsidP="0014205E">
            <w:pPr>
              <w:autoSpaceDE w:val="0"/>
              <w:autoSpaceDN w:val="0"/>
              <w:adjustRightInd w:val="0"/>
              <w:jc w:val="center"/>
              <w:rPr>
                <w:rFonts w:ascii="Aptos" w:eastAsia="Calibri" w:hAnsi="Aptos" w:cs="Times New Roman"/>
              </w:rPr>
            </w:pPr>
          </w:p>
          <w:p w14:paraId="73F314B0" w14:textId="77777777" w:rsidR="00AC3A48" w:rsidRDefault="00AC3A48" w:rsidP="0014205E">
            <w:pPr>
              <w:autoSpaceDE w:val="0"/>
              <w:autoSpaceDN w:val="0"/>
              <w:adjustRightInd w:val="0"/>
              <w:jc w:val="center"/>
              <w:rPr>
                <w:rFonts w:ascii="Aptos" w:eastAsia="Calibri" w:hAnsi="Aptos" w:cs="Times New Roman"/>
              </w:rPr>
            </w:pPr>
          </w:p>
          <w:p w14:paraId="382879E6" w14:textId="77777777" w:rsidR="00AC3A48" w:rsidRDefault="00AC3A48" w:rsidP="0014205E">
            <w:pPr>
              <w:autoSpaceDE w:val="0"/>
              <w:autoSpaceDN w:val="0"/>
              <w:adjustRightInd w:val="0"/>
              <w:jc w:val="center"/>
              <w:rPr>
                <w:rFonts w:ascii="Aptos" w:eastAsia="Calibri" w:hAnsi="Aptos" w:cs="Times New Roman"/>
              </w:rPr>
            </w:pPr>
          </w:p>
          <w:p w14:paraId="587F0300" w14:textId="77777777" w:rsidR="00AC3A48" w:rsidRDefault="00AC3A48" w:rsidP="0014205E">
            <w:pPr>
              <w:autoSpaceDE w:val="0"/>
              <w:autoSpaceDN w:val="0"/>
              <w:adjustRightInd w:val="0"/>
              <w:jc w:val="center"/>
              <w:rPr>
                <w:rFonts w:ascii="Aptos" w:eastAsia="Calibri" w:hAnsi="Aptos" w:cs="Times New Roman"/>
              </w:rPr>
            </w:pPr>
          </w:p>
          <w:p w14:paraId="5C0DDE6C" w14:textId="4DDDB8D4" w:rsidR="00AC3A48" w:rsidRPr="0014205E" w:rsidRDefault="00AC3A48" w:rsidP="0014205E">
            <w:pPr>
              <w:autoSpaceDE w:val="0"/>
              <w:autoSpaceDN w:val="0"/>
              <w:adjustRightInd w:val="0"/>
              <w:jc w:val="center"/>
              <w:rPr>
                <w:rFonts w:ascii="Aptos" w:eastAsia="Calibri" w:hAnsi="Aptos" w:cs="Times New Roman"/>
              </w:rPr>
            </w:pPr>
          </w:p>
        </w:tc>
        <w:tc>
          <w:tcPr>
            <w:tcW w:w="6798" w:type="dxa"/>
          </w:tcPr>
          <w:p w14:paraId="1B1AAFE6" w14:textId="77777777" w:rsidR="0014205E" w:rsidRPr="0014205E" w:rsidRDefault="0014205E" w:rsidP="000A313A">
            <w:pPr>
              <w:numPr>
                <w:ilvl w:val="0"/>
                <w:numId w:val="21"/>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Using Risk Group 2, Risk Group 3, Risk Group 4, or Restricted Agents as Host-Vector Systems</w:t>
            </w:r>
          </w:p>
          <w:p w14:paraId="69DADC26" w14:textId="77777777" w:rsidR="0014205E" w:rsidRPr="0014205E" w:rsidRDefault="0014205E" w:rsidP="000A313A">
            <w:pPr>
              <w:numPr>
                <w:ilvl w:val="0"/>
                <w:numId w:val="21"/>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 Which DNA From Risk Group 2, Risk Group 3, Risk Group 4, or Restricted Agents is Cloned into Nonpathogenic Prokaryotic or Lower Eukaryotic Host-Vector Systems.</w:t>
            </w:r>
          </w:p>
          <w:p w14:paraId="0C3C9698" w14:textId="77777777" w:rsidR="0014205E" w:rsidRPr="0014205E" w:rsidRDefault="0014205E" w:rsidP="000A313A">
            <w:pPr>
              <w:numPr>
                <w:ilvl w:val="0"/>
                <w:numId w:val="21"/>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the Use of Infectious DNA or RNA Viruses or Defective DNA or RNA Viruses in the Presence of a Helper System in Tissue Culture Systems.</w:t>
            </w:r>
          </w:p>
          <w:p w14:paraId="0B69F135" w14:textId="77777777" w:rsidR="0014205E" w:rsidRPr="0014205E" w:rsidRDefault="0014205E" w:rsidP="000A313A">
            <w:pPr>
              <w:numPr>
                <w:ilvl w:val="0"/>
                <w:numId w:val="21"/>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whole animals, including the creation of transgenic organisms other than rodents, and the introduction of recombinant DNA or RNA including modified microorganisms into whole animals.</w:t>
            </w:r>
          </w:p>
          <w:p w14:paraId="7A572344" w14:textId="77777777" w:rsidR="0014205E" w:rsidRPr="0014205E" w:rsidRDefault="0014205E" w:rsidP="000A313A">
            <w:pPr>
              <w:numPr>
                <w:ilvl w:val="0"/>
                <w:numId w:val="21"/>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whole plants (requiring BL2-P+ and BL3-P containment).</w:t>
            </w:r>
          </w:p>
          <w:p w14:paraId="7BF0DD90" w14:textId="77777777" w:rsidR="0014205E" w:rsidRPr="0014205E" w:rsidRDefault="0014205E" w:rsidP="000A313A">
            <w:pPr>
              <w:numPr>
                <w:ilvl w:val="0"/>
                <w:numId w:val="21"/>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more than 10 liters of culture.</w:t>
            </w:r>
          </w:p>
          <w:p w14:paraId="6270D2E0" w14:textId="77777777" w:rsidR="0014205E" w:rsidRPr="0014205E" w:rsidRDefault="0014205E" w:rsidP="000A313A">
            <w:pPr>
              <w:numPr>
                <w:ilvl w:val="0"/>
                <w:numId w:val="21"/>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Influenza viruses.</w:t>
            </w:r>
          </w:p>
          <w:p w14:paraId="7D236BEE" w14:textId="77777777" w:rsidR="0014205E" w:rsidRDefault="0014205E" w:rsidP="000A313A">
            <w:pPr>
              <w:numPr>
                <w:ilvl w:val="0"/>
                <w:numId w:val="21"/>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gene drive modified organisms.</w:t>
            </w:r>
          </w:p>
          <w:p w14:paraId="226D10EA" w14:textId="767FEE16" w:rsidR="00580E70" w:rsidRPr="00F612AB" w:rsidRDefault="00580E70" w:rsidP="00580E70">
            <w:pPr>
              <w:autoSpaceDE w:val="0"/>
              <w:autoSpaceDN w:val="0"/>
              <w:adjustRightInd w:val="0"/>
              <w:ind w:left="360"/>
              <w:contextualSpacing/>
              <w:rPr>
                <w:rFonts w:ascii="Aptos" w:eastAsia="Calibri" w:hAnsi="Aptos" w:cs="Times New Roman"/>
              </w:rPr>
            </w:pPr>
          </w:p>
        </w:tc>
        <w:tc>
          <w:tcPr>
            <w:tcW w:w="681" w:type="dxa"/>
          </w:tcPr>
          <w:p w14:paraId="4D2E9C47" w14:textId="77777777" w:rsidR="0014205E" w:rsidRPr="0014205E" w:rsidRDefault="0014205E" w:rsidP="0014205E">
            <w:pPr>
              <w:autoSpaceDE w:val="0"/>
              <w:autoSpaceDN w:val="0"/>
              <w:adjustRightInd w:val="0"/>
              <w:jc w:val="center"/>
              <w:rPr>
                <w:rFonts w:ascii="Aptos" w:eastAsia="Calibri" w:hAnsi="Aptos" w:cs="Times New Roman"/>
              </w:rPr>
            </w:pPr>
          </w:p>
        </w:tc>
        <w:tc>
          <w:tcPr>
            <w:tcW w:w="540" w:type="dxa"/>
          </w:tcPr>
          <w:p w14:paraId="102E1D46" w14:textId="77777777" w:rsidR="0014205E" w:rsidRPr="0014205E" w:rsidRDefault="0014205E" w:rsidP="0014205E">
            <w:pPr>
              <w:autoSpaceDE w:val="0"/>
              <w:autoSpaceDN w:val="0"/>
              <w:adjustRightInd w:val="0"/>
              <w:jc w:val="center"/>
              <w:rPr>
                <w:rFonts w:ascii="Aptos" w:eastAsia="Calibri" w:hAnsi="Aptos" w:cs="Times New Roman"/>
                <w:b/>
                <w:bCs/>
              </w:rPr>
            </w:pPr>
          </w:p>
          <w:p w14:paraId="26F89F53" w14:textId="77777777" w:rsidR="0014205E" w:rsidRDefault="0014205E" w:rsidP="0014205E">
            <w:pPr>
              <w:autoSpaceDE w:val="0"/>
              <w:autoSpaceDN w:val="0"/>
              <w:adjustRightInd w:val="0"/>
              <w:jc w:val="center"/>
              <w:rPr>
                <w:rFonts w:ascii="Aptos" w:eastAsia="Calibri" w:hAnsi="Aptos" w:cs="Times New Roman"/>
                <w:b/>
                <w:bCs/>
              </w:rPr>
            </w:pPr>
            <w:r w:rsidRPr="0014205E">
              <w:rPr>
                <w:rFonts w:ascii="Aptos" w:eastAsia="Calibri" w:hAnsi="Aptos" w:cs="Times New Roman"/>
                <w:b/>
                <w:bCs/>
              </w:rPr>
              <w:sym w:font="Symbol" w:char="F0D6"/>
            </w:r>
          </w:p>
          <w:p w14:paraId="4F2DC451" w14:textId="77777777" w:rsidR="00AC3A48" w:rsidRDefault="00AC3A48" w:rsidP="0014205E">
            <w:pPr>
              <w:autoSpaceDE w:val="0"/>
              <w:autoSpaceDN w:val="0"/>
              <w:adjustRightInd w:val="0"/>
              <w:jc w:val="center"/>
              <w:rPr>
                <w:rFonts w:ascii="Aptos" w:eastAsia="Calibri" w:hAnsi="Aptos" w:cs="Times New Roman"/>
                <w:b/>
                <w:bCs/>
              </w:rPr>
            </w:pPr>
          </w:p>
          <w:p w14:paraId="5BA07540" w14:textId="77777777" w:rsidR="00AC3A48" w:rsidRDefault="00AC3A48" w:rsidP="0014205E">
            <w:pPr>
              <w:autoSpaceDE w:val="0"/>
              <w:autoSpaceDN w:val="0"/>
              <w:adjustRightInd w:val="0"/>
              <w:jc w:val="center"/>
              <w:rPr>
                <w:rFonts w:ascii="Aptos" w:eastAsia="Calibri" w:hAnsi="Aptos" w:cs="Times New Roman"/>
                <w:b/>
                <w:bCs/>
              </w:rPr>
            </w:pPr>
          </w:p>
          <w:p w14:paraId="7B039AE2" w14:textId="77777777" w:rsidR="00AC3A48" w:rsidRDefault="00AC3A48" w:rsidP="0014205E">
            <w:pPr>
              <w:autoSpaceDE w:val="0"/>
              <w:autoSpaceDN w:val="0"/>
              <w:adjustRightInd w:val="0"/>
              <w:jc w:val="center"/>
              <w:rPr>
                <w:rFonts w:ascii="Aptos" w:eastAsia="Calibri" w:hAnsi="Aptos" w:cs="Times New Roman"/>
                <w:b/>
                <w:bCs/>
              </w:rPr>
            </w:pPr>
          </w:p>
          <w:p w14:paraId="197C286D" w14:textId="77777777" w:rsidR="00AC3A48" w:rsidRDefault="00AC3A48" w:rsidP="0014205E">
            <w:pPr>
              <w:autoSpaceDE w:val="0"/>
              <w:autoSpaceDN w:val="0"/>
              <w:adjustRightInd w:val="0"/>
              <w:jc w:val="center"/>
              <w:rPr>
                <w:rFonts w:ascii="Aptos" w:eastAsia="Calibri" w:hAnsi="Aptos" w:cs="Times New Roman"/>
                <w:b/>
                <w:bCs/>
              </w:rPr>
            </w:pPr>
          </w:p>
          <w:p w14:paraId="475CFE6E" w14:textId="77777777" w:rsidR="00AC3A48" w:rsidRPr="0014205E" w:rsidRDefault="00AC3A48" w:rsidP="0014205E">
            <w:pPr>
              <w:autoSpaceDE w:val="0"/>
              <w:autoSpaceDN w:val="0"/>
              <w:adjustRightInd w:val="0"/>
              <w:jc w:val="center"/>
              <w:rPr>
                <w:rFonts w:ascii="Aptos" w:eastAsia="Calibri" w:hAnsi="Aptos" w:cs="Times New Roman"/>
                <w:b/>
                <w:bCs/>
              </w:rPr>
            </w:pPr>
          </w:p>
          <w:p w14:paraId="2B04F52B" w14:textId="77777777" w:rsidR="0014205E" w:rsidRPr="0014205E" w:rsidRDefault="0014205E" w:rsidP="0014205E">
            <w:pPr>
              <w:autoSpaceDE w:val="0"/>
              <w:autoSpaceDN w:val="0"/>
              <w:adjustRightInd w:val="0"/>
              <w:rPr>
                <w:rFonts w:ascii="Aptos" w:eastAsia="Calibri" w:hAnsi="Aptos" w:cs="Times New Roman"/>
              </w:rPr>
            </w:pPr>
          </w:p>
        </w:tc>
      </w:tr>
      <w:tr w:rsidR="00F612AB" w:rsidRPr="0014205E" w14:paraId="6C13D043" w14:textId="77777777" w:rsidTr="001A2B42">
        <w:tc>
          <w:tcPr>
            <w:tcW w:w="1336" w:type="dxa"/>
          </w:tcPr>
          <w:p w14:paraId="764A7BFE" w14:textId="00F120F8" w:rsidR="00F612AB" w:rsidRDefault="00F612AB" w:rsidP="00F612AB">
            <w:pPr>
              <w:autoSpaceDE w:val="0"/>
              <w:autoSpaceDN w:val="0"/>
              <w:adjustRightInd w:val="0"/>
              <w:jc w:val="center"/>
              <w:rPr>
                <w:rFonts w:ascii="Aptos" w:eastAsia="Calibri" w:hAnsi="Aptos" w:cs="Times New Roman"/>
              </w:rPr>
            </w:pPr>
            <w:r w:rsidRPr="0014205E">
              <w:rPr>
                <w:rFonts w:ascii="Aptos" w:eastAsia="Calibri" w:hAnsi="Aptos" w:cs="Times New Roman"/>
              </w:rPr>
              <w:t>III-E</w:t>
            </w:r>
          </w:p>
        </w:tc>
        <w:tc>
          <w:tcPr>
            <w:tcW w:w="6798" w:type="dxa"/>
          </w:tcPr>
          <w:p w14:paraId="3D8A7182" w14:textId="77777777" w:rsidR="00F612AB" w:rsidRPr="0014205E" w:rsidRDefault="00F612AB" w:rsidP="000A313A">
            <w:pPr>
              <w:numPr>
                <w:ilvl w:val="0"/>
                <w:numId w:val="22"/>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the formation of recombinant or synthetic nucleic acid molecules containing no more than 2/3 of the genome of any eukaryotic virus.</w:t>
            </w:r>
          </w:p>
          <w:p w14:paraId="0331508A" w14:textId="77777777" w:rsidR="00F612AB" w:rsidRPr="0014205E" w:rsidRDefault="00F612AB" w:rsidP="000A313A">
            <w:pPr>
              <w:numPr>
                <w:ilvl w:val="0"/>
                <w:numId w:val="22"/>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whole plants (requiring BL1-P and BL2-P containment)</w:t>
            </w:r>
          </w:p>
          <w:p w14:paraId="2283BC42" w14:textId="15EB6194" w:rsidR="00F612AB" w:rsidRPr="0014205E" w:rsidRDefault="00F612AB" w:rsidP="000A313A">
            <w:pPr>
              <w:numPr>
                <w:ilvl w:val="0"/>
                <w:numId w:val="23"/>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the creation of transgenic rodents requiring BL1 containment only.</w:t>
            </w:r>
          </w:p>
        </w:tc>
        <w:tc>
          <w:tcPr>
            <w:tcW w:w="681" w:type="dxa"/>
          </w:tcPr>
          <w:p w14:paraId="32D9E28E" w14:textId="77777777" w:rsidR="00F612AB" w:rsidRPr="0014205E" w:rsidRDefault="00F612AB" w:rsidP="00F612AB">
            <w:pPr>
              <w:autoSpaceDE w:val="0"/>
              <w:autoSpaceDN w:val="0"/>
              <w:adjustRightInd w:val="0"/>
              <w:rPr>
                <w:rFonts w:ascii="Aptos" w:eastAsia="Calibri" w:hAnsi="Aptos" w:cs="Times New Roman"/>
              </w:rPr>
            </w:pPr>
          </w:p>
        </w:tc>
        <w:tc>
          <w:tcPr>
            <w:tcW w:w="540" w:type="dxa"/>
          </w:tcPr>
          <w:p w14:paraId="020B1B07" w14:textId="77777777" w:rsidR="00F612AB" w:rsidRPr="0014205E" w:rsidRDefault="00F612AB" w:rsidP="00F612AB">
            <w:pPr>
              <w:autoSpaceDE w:val="0"/>
              <w:autoSpaceDN w:val="0"/>
              <w:adjustRightInd w:val="0"/>
              <w:jc w:val="center"/>
              <w:rPr>
                <w:rFonts w:ascii="Aptos" w:eastAsia="Calibri" w:hAnsi="Aptos" w:cs="Times New Roman"/>
                <w:b/>
                <w:bCs/>
              </w:rPr>
            </w:pPr>
          </w:p>
          <w:p w14:paraId="7F187EC1" w14:textId="77777777" w:rsidR="00F612AB" w:rsidRPr="0014205E" w:rsidRDefault="00F612AB" w:rsidP="00F612AB">
            <w:pPr>
              <w:autoSpaceDE w:val="0"/>
              <w:autoSpaceDN w:val="0"/>
              <w:adjustRightInd w:val="0"/>
              <w:jc w:val="center"/>
              <w:rPr>
                <w:rFonts w:ascii="Aptos" w:eastAsia="Calibri" w:hAnsi="Aptos" w:cs="Times New Roman"/>
                <w:b/>
                <w:bCs/>
              </w:rPr>
            </w:pPr>
          </w:p>
          <w:p w14:paraId="6BD52C5D" w14:textId="69C3C08D" w:rsidR="00F612AB" w:rsidRPr="0014205E" w:rsidRDefault="00F612AB" w:rsidP="00F612AB">
            <w:pPr>
              <w:autoSpaceDE w:val="0"/>
              <w:autoSpaceDN w:val="0"/>
              <w:adjustRightInd w:val="0"/>
              <w:jc w:val="center"/>
              <w:rPr>
                <w:rFonts w:ascii="Aptos" w:eastAsia="Calibri" w:hAnsi="Aptos" w:cs="Times New Roman"/>
                <w:b/>
                <w:bCs/>
                <w:sz w:val="28"/>
                <w:szCs w:val="28"/>
              </w:rPr>
            </w:pPr>
            <w:r w:rsidRPr="0014205E">
              <w:rPr>
                <w:rFonts w:ascii="Aptos" w:eastAsia="Calibri" w:hAnsi="Aptos" w:cs="Times New Roman"/>
                <w:b/>
                <w:bCs/>
              </w:rPr>
              <w:sym w:font="Symbol" w:char="F0D6"/>
            </w:r>
          </w:p>
        </w:tc>
      </w:tr>
      <w:tr w:rsidR="0014205E" w:rsidRPr="0014205E" w14:paraId="0ECD5BEF" w14:textId="77777777" w:rsidTr="001A2B42">
        <w:tc>
          <w:tcPr>
            <w:tcW w:w="1336" w:type="dxa"/>
          </w:tcPr>
          <w:p w14:paraId="1BF81492" w14:textId="3360EDAD" w:rsidR="0014205E" w:rsidRPr="0014205E" w:rsidRDefault="0014205E" w:rsidP="0014205E">
            <w:pPr>
              <w:autoSpaceDE w:val="0"/>
              <w:autoSpaceDN w:val="0"/>
              <w:adjustRightInd w:val="0"/>
              <w:jc w:val="center"/>
              <w:rPr>
                <w:rFonts w:ascii="Aptos" w:eastAsia="Calibri" w:hAnsi="Aptos" w:cs="Times New Roman"/>
              </w:rPr>
            </w:pPr>
            <w:r>
              <w:rPr>
                <w:rFonts w:ascii="Aptos" w:eastAsia="Calibri" w:hAnsi="Aptos" w:cs="Times New Roman"/>
              </w:rPr>
              <w:lastRenderedPageBreak/>
              <w:t>III-F</w:t>
            </w:r>
          </w:p>
        </w:tc>
        <w:tc>
          <w:tcPr>
            <w:tcW w:w="6798" w:type="dxa"/>
          </w:tcPr>
          <w:p w14:paraId="49B69FA5" w14:textId="77777777" w:rsidR="0014205E" w:rsidRPr="0014205E" w:rsidRDefault="0014205E" w:rsidP="000A313A">
            <w:pPr>
              <w:numPr>
                <w:ilvl w:val="0"/>
                <w:numId w:val="23"/>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involving nucleic acids that cannot replicate in any living cell, cannot integrate into DNA, and do not produce a toxin with an LD50 of less than 100ng/kg body weight.</w:t>
            </w:r>
          </w:p>
          <w:p w14:paraId="7E1758E0" w14:textId="77777777" w:rsidR="0014205E" w:rsidRPr="0014205E" w:rsidRDefault="0014205E" w:rsidP="000A313A">
            <w:pPr>
              <w:numPr>
                <w:ilvl w:val="0"/>
                <w:numId w:val="23"/>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not conducted in organisms, cells, or viruses and that have not been modified or manipulated to render them capable of penetrating cell membranes.</w:t>
            </w:r>
          </w:p>
          <w:p w14:paraId="60B984B5" w14:textId="77777777" w:rsidR="0014205E" w:rsidRPr="0014205E" w:rsidRDefault="0014205E" w:rsidP="000A313A">
            <w:pPr>
              <w:numPr>
                <w:ilvl w:val="0"/>
                <w:numId w:val="23"/>
              </w:numPr>
              <w:autoSpaceDE w:val="0"/>
              <w:autoSpaceDN w:val="0"/>
              <w:adjustRightInd w:val="0"/>
              <w:contextualSpacing/>
              <w:rPr>
                <w:rFonts w:ascii="Aptos" w:eastAsia="Calibri" w:hAnsi="Aptos" w:cs="Times New Roman"/>
              </w:rPr>
            </w:pPr>
            <w:r w:rsidRPr="0014205E">
              <w:rPr>
                <w:rFonts w:ascii="Aptos" w:eastAsia="Calibri" w:hAnsi="Aptos" w:cs="Times New Roman"/>
              </w:rPr>
              <w:t>Recombinant or synthetic nucleic acids that exist solely of the exact nucleic acid sequence from a single source that exists in nature.</w:t>
            </w:r>
          </w:p>
          <w:p w14:paraId="4824ECFE" w14:textId="77777777" w:rsidR="0014205E" w:rsidRPr="0014205E" w:rsidRDefault="0014205E" w:rsidP="000A313A">
            <w:pPr>
              <w:numPr>
                <w:ilvl w:val="0"/>
                <w:numId w:val="23"/>
              </w:numPr>
              <w:autoSpaceDE w:val="0"/>
              <w:autoSpaceDN w:val="0"/>
              <w:adjustRightInd w:val="0"/>
              <w:contextualSpacing/>
              <w:rPr>
                <w:rFonts w:ascii="Aptos" w:eastAsia="Calibri" w:hAnsi="Aptos" w:cs="Times New Roman"/>
              </w:rPr>
            </w:pPr>
            <w:r w:rsidRPr="0014205E">
              <w:rPr>
                <w:rFonts w:ascii="Aptos" w:eastAsia="Calibri" w:hAnsi="Aptos" w:cs="Times New Roman"/>
              </w:rPr>
              <w:t>Nucleic acids from a prokaryotic or eukaryotic host, when propagated only in that host (or closely related strain of the same species).</w:t>
            </w:r>
          </w:p>
          <w:p w14:paraId="4BA4B2ED" w14:textId="77777777" w:rsidR="0014205E" w:rsidRPr="0014205E" w:rsidRDefault="0014205E" w:rsidP="000A313A">
            <w:pPr>
              <w:numPr>
                <w:ilvl w:val="0"/>
                <w:numId w:val="23"/>
              </w:numPr>
              <w:autoSpaceDE w:val="0"/>
              <w:autoSpaceDN w:val="0"/>
              <w:adjustRightInd w:val="0"/>
              <w:contextualSpacing/>
              <w:rPr>
                <w:rFonts w:ascii="Aptos" w:eastAsia="Calibri" w:hAnsi="Aptos" w:cs="Times New Roman"/>
              </w:rPr>
            </w:pPr>
            <w:r w:rsidRPr="0014205E">
              <w:rPr>
                <w:rFonts w:ascii="Aptos" w:eastAsia="Calibri" w:hAnsi="Aptos" w:cs="Times New Roman"/>
              </w:rPr>
              <w:t>DNA segments from different species that exchange DNA by known physiological processes (must consult Appendix A of the Guidelines for lists of designated exchangers).</w:t>
            </w:r>
          </w:p>
          <w:p w14:paraId="08710219" w14:textId="77777777" w:rsidR="0014205E" w:rsidRPr="0014205E" w:rsidRDefault="0014205E" w:rsidP="000A313A">
            <w:pPr>
              <w:numPr>
                <w:ilvl w:val="0"/>
                <w:numId w:val="23"/>
              </w:numPr>
              <w:autoSpaceDE w:val="0"/>
              <w:autoSpaceDN w:val="0"/>
              <w:adjustRightInd w:val="0"/>
              <w:contextualSpacing/>
              <w:rPr>
                <w:rFonts w:ascii="Aptos" w:eastAsia="Calibri" w:hAnsi="Aptos" w:cs="Times New Roman"/>
              </w:rPr>
            </w:pPr>
            <w:r w:rsidRPr="0014205E">
              <w:rPr>
                <w:rFonts w:ascii="Aptos" w:eastAsia="Calibri" w:hAnsi="Aptos" w:cs="Times New Roman"/>
              </w:rPr>
              <w:t>Genomic DNA molecules that have acquired a transposable element, if the transposable element does not contain any recombinant or synthetic DNA.</w:t>
            </w:r>
          </w:p>
          <w:p w14:paraId="3B38FFD4" w14:textId="77777777" w:rsidR="0014205E" w:rsidRDefault="0014205E" w:rsidP="000A313A">
            <w:pPr>
              <w:numPr>
                <w:ilvl w:val="0"/>
                <w:numId w:val="23"/>
              </w:numPr>
              <w:autoSpaceDE w:val="0"/>
              <w:autoSpaceDN w:val="0"/>
              <w:adjustRightInd w:val="0"/>
              <w:contextualSpacing/>
              <w:rPr>
                <w:rFonts w:ascii="Aptos" w:eastAsia="Calibri" w:hAnsi="Aptos" w:cs="Times New Roman"/>
              </w:rPr>
            </w:pPr>
            <w:r w:rsidRPr="0014205E">
              <w:rPr>
                <w:rFonts w:ascii="Aptos" w:eastAsia="Calibri" w:hAnsi="Aptos" w:cs="Times New Roman"/>
              </w:rPr>
              <w:t>Experiments that do not present a significant risk to health or the environment (</w:t>
            </w:r>
            <w:r w:rsidR="00F612AB">
              <w:rPr>
                <w:rFonts w:ascii="Aptos" w:eastAsia="Calibri" w:hAnsi="Aptos" w:cs="Times New Roman"/>
              </w:rPr>
              <w:t>C</w:t>
            </w:r>
            <w:r w:rsidRPr="0014205E">
              <w:rPr>
                <w:rFonts w:ascii="Aptos" w:eastAsia="Calibri" w:hAnsi="Aptos" w:cs="Times New Roman"/>
              </w:rPr>
              <w:t>onsult Appendix C of the Guidelines for specific categories and exemptions.</w:t>
            </w:r>
            <w:r w:rsidR="00F612AB">
              <w:rPr>
                <w:rFonts w:ascii="Aptos" w:eastAsia="Calibri" w:hAnsi="Aptos" w:cs="Times New Roman"/>
              </w:rPr>
              <w:t>)</w:t>
            </w:r>
          </w:p>
          <w:p w14:paraId="1739F24B" w14:textId="461886E9" w:rsidR="00D46928" w:rsidRPr="00F612AB" w:rsidRDefault="00D46928" w:rsidP="00D46928">
            <w:pPr>
              <w:autoSpaceDE w:val="0"/>
              <w:autoSpaceDN w:val="0"/>
              <w:adjustRightInd w:val="0"/>
              <w:ind w:left="360"/>
              <w:contextualSpacing/>
              <w:rPr>
                <w:rFonts w:ascii="Aptos" w:eastAsia="Calibri" w:hAnsi="Aptos" w:cs="Times New Roman"/>
              </w:rPr>
            </w:pPr>
          </w:p>
        </w:tc>
        <w:tc>
          <w:tcPr>
            <w:tcW w:w="681" w:type="dxa"/>
          </w:tcPr>
          <w:p w14:paraId="2510E524" w14:textId="77777777" w:rsidR="0014205E" w:rsidRPr="0014205E" w:rsidRDefault="0014205E" w:rsidP="0014205E">
            <w:pPr>
              <w:autoSpaceDE w:val="0"/>
              <w:autoSpaceDN w:val="0"/>
              <w:adjustRightInd w:val="0"/>
              <w:rPr>
                <w:rFonts w:ascii="Aptos" w:eastAsia="Calibri" w:hAnsi="Aptos" w:cs="Times New Roman"/>
              </w:rPr>
            </w:pPr>
          </w:p>
        </w:tc>
        <w:tc>
          <w:tcPr>
            <w:tcW w:w="540" w:type="dxa"/>
          </w:tcPr>
          <w:p w14:paraId="14334AE8" w14:textId="77777777" w:rsidR="0014205E" w:rsidRPr="0014205E" w:rsidRDefault="0014205E" w:rsidP="0014205E">
            <w:pPr>
              <w:autoSpaceDE w:val="0"/>
              <w:autoSpaceDN w:val="0"/>
              <w:adjustRightInd w:val="0"/>
              <w:jc w:val="center"/>
              <w:rPr>
                <w:rFonts w:ascii="Aptos" w:eastAsia="Calibri" w:hAnsi="Aptos" w:cs="Times New Roman"/>
                <w:b/>
                <w:bCs/>
                <w:sz w:val="28"/>
                <w:szCs w:val="28"/>
              </w:rPr>
            </w:pPr>
          </w:p>
        </w:tc>
      </w:tr>
    </w:tbl>
    <w:p w14:paraId="7D669BC3" w14:textId="77777777" w:rsidR="0014205E" w:rsidRDefault="0014205E" w:rsidP="0014205E">
      <w:pPr>
        <w:spacing w:after="120" w:line="240" w:lineRule="auto"/>
        <w:rPr>
          <w:b/>
          <w:bCs/>
          <w:sz w:val="28"/>
          <w:szCs w:val="28"/>
        </w:rPr>
      </w:pPr>
    </w:p>
    <w:p w14:paraId="40097574" w14:textId="77777777" w:rsidR="00880271" w:rsidRPr="00275D53" w:rsidRDefault="00880271" w:rsidP="00275D53">
      <w:pPr>
        <w:spacing w:after="0" w:line="240" w:lineRule="auto"/>
        <w:rPr>
          <w:rFonts w:ascii="Aptos" w:eastAsia="Calibri" w:hAnsi="Aptos" w:cs="Times New Roman"/>
          <w:b/>
          <w:kern w:val="0"/>
          <w:sz w:val="22"/>
          <w:szCs w:val="22"/>
          <w14:ligatures w14:val="none"/>
        </w:rPr>
      </w:pPr>
      <w:r w:rsidRPr="00275D53">
        <w:rPr>
          <w:rFonts w:ascii="Aptos" w:eastAsia="Calibri" w:hAnsi="Aptos" w:cs="Times New Roman"/>
          <w:b/>
          <w:kern w:val="0"/>
          <w:sz w:val="22"/>
          <w:szCs w:val="22"/>
          <w14:ligatures w14:val="none"/>
        </w:rPr>
        <w:t>IBC Training Requirements</w:t>
      </w:r>
    </w:p>
    <w:p w14:paraId="00B7CF9C" w14:textId="77777777" w:rsidR="00880271" w:rsidRPr="00880271" w:rsidRDefault="00880271" w:rsidP="00275D53">
      <w:pPr>
        <w:spacing w:after="120" w:line="240" w:lineRule="auto"/>
        <w:contextualSpacing/>
        <w:rPr>
          <w:rFonts w:ascii="Aptos" w:eastAsia="Calibri" w:hAnsi="Aptos" w:cs="Times New Roman"/>
          <w:bCs/>
          <w:kern w:val="0"/>
          <w:sz w:val="22"/>
          <w:szCs w:val="22"/>
          <w14:ligatures w14:val="none"/>
        </w:rPr>
      </w:pPr>
      <w:r w:rsidRPr="00880271">
        <w:rPr>
          <w:rFonts w:ascii="Aptos" w:eastAsia="Calibri" w:hAnsi="Aptos" w:cs="Times New Roman"/>
          <w:bCs/>
          <w:kern w:val="0"/>
          <w:sz w:val="22"/>
          <w:szCs w:val="22"/>
          <w14:ligatures w14:val="none"/>
        </w:rPr>
        <w:t>Training requirements are listed below and apply to everyone who is part of the research team. Training requirements may be completed while the IBC application is under review. These are online training modules through Vector Solutions and are assigned by the Office of Safety.</w:t>
      </w:r>
    </w:p>
    <w:p w14:paraId="26A43970" w14:textId="77777777" w:rsidR="00880271" w:rsidRPr="00880271" w:rsidRDefault="00880271" w:rsidP="00275D53">
      <w:pPr>
        <w:spacing w:after="120" w:line="240" w:lineRule="auto"/>
        <w:ind w:left="360"/>
        <w:contextualSpacing/>
        <w:rPr>
          <w:rFonts w:ascii="Aptos" w:eastAsia="Calibri" w:hAnsi="Aptos" w:cs="Times New Roman"/>
          <w:bCs/>
          <w:kern w:val="0"/>
          <w:sz w:val="22"/>
          <w:szCs w:val="22"/>
          <w14:ligatures w14:val="none"/>
        </w:rPr>
      </w:pPr>
    </w:p>
    <w:tbl>
      <w:tblPr>
        <w:tblStyle w:val="TableGrid4"/>
        <w:tblW w:w="0" w:type="auto"/>
        <w:tblInd w:w="360" w:type="dxa"/>
        <w:tblLook w:val="04A0" w:firstRow="1" w:lastRow="0" w:firstColumn="1" w:lastColumn="0" w:noHBand="0" w:noVBand="1"/>
      </w:tblPr>
      <w:tblGrid>
        <w:gridCol w:w="5935"/>
        <w:gridCol w:w="3055"/>
      </w:tblGrid>
      <w:tr w:rsidR="00880271" w:rsidRPr="00880271" w14:paraId="01763664" w14:textId="77777777" w:rsidTr="006F6990">
        <w:tc>
          <w:tcPr>
            <w:tcW w:w="5935" w:type="dxa"/>
            <w:shd w:val="clear" w:color="auto" w:fill="59A56D"/>
          </w:tcPr>
          <w:p w14:paraId="053C4626" w14:textId="77777777" w:rsidR="00880271" w:rsidRPr="006F6990" w:rsidRDefault="00880271" w:rsidP="00880271">
            <w:pPr>
              <w:contextualSpacing/>
              <w:jc w:val="center"/>
              <w:rPr>
                <w:rFonts w:ascii="Aptos" w:eastAsia="Calibri" w:hAnsi="Aptos" w:cs="Times New Roman"/>
                <w:b/>
                <w:color w:val="FFFFFF" w:themeColor="background1"/>
              </w:rPr>
            </w:pPr>
            <w:r w:rsidRPr="006F6990">
              <w:rPr>
                <w:rFonts w:ascii="Aptos" w:eastAsia="Calibri" w:hAnsi="Aptos" w:cs="Times New Roman"/>
                <w:b/>
                <w:color w:val="FFFFFF" w:themeColor="background1"/>
              </w:rPr>
              <w:t>Training Module</w:t>
            </w:r>
          </w:p>
        </w:tc>
        <w:tc>
          <w:tcPr>
            <w:tcW w:w="3055" w:type="dxa"/>
            <w:shd w:val="clear" w:color="auto" w:fill="59A56D"/>
          </w:tcPr>
          <w:p w14:paraId="745BD138" w14:textId="77777777" w:rsidR="00880271" w:rsidRPr="006F6990" w:rsidRDefault="00880271" w:rsidP="00880271">
            <w:pPr>
              <w:contextualSpacing/>
              <w:jc w:val="center"/>
              <w:rPr>
                <w:rFonts w:ascii="Aptos" w:eastAsia="Calibri" w:hAnsi="Aptos" w:cs="Times New Roman"/>
                <w:b/>
                <w:color w:val="FFFFFF" w:themeColor="background1"/>
              </w:rPr>
            </w:pPr>
            <w:r w:rsidRPr="006F6990">
              <w:rPr>
                <w:rFonts w:ascii="Aptos" w:eastAsia="Calibri" w:hAnsi="Aptos" w:cs="Times New Roman"/>
                <w:b/>
                <w:color w:val="FFFFFF" w:themeColor="background1"/>
              </w:rPr>
              <w:t>Frequency</w:t>
            </w:r>
          </w:p>
        </w:tc>
      </w:tr>
      <w:tr w:rsidR="00880271" w:rsidRPr="00880271" w14:paraId="4D704C2B" w14:textId="77777777" w:rsidTr="001A2B42">
        <w:tc>
          <w:tcPr>
            <w:tcW w:w="5935" w:type="dxa"/>
          </w:tcPr>
          <w:p w14:paraId="2F113887"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General Laboratory Safety</w:t>
            </w:r>
          </w:p>
        </w:tc>
        <w:tc>
          <w:tcPr>
            <w:tcW w:w="3055" w:type="dxa"/>
          </w:tcPr>
          <w:p w14:paraId="42B24E3D"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Every 3-years</w:t>
            </w:r>
          </w:p>
        </w:tc>
      </w:tr>
      <w:tr w:rsidR="00880271" w:rsidRPr="00880271" w14:paraId="757B575A" w14:textId="77777777" w:rsidTr="001A2B42">
        <w:tc>
          <w:tcPr>
            <w:tcW w:w="5935" w:type="dxa"/>
          </w:tcPr>
          <w:p w14:paraId="6826F339"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Hazard Communication: Right to Understand</w:t>
            </w:r>
          </w:p>
        </w:tc>
        <w:tc>
          <w:tcPr>
            <w:tcW w:w="3055" w:type="dxa"/>
          </w:tcPr>
          <w:p w14:paraId="394DB73C"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Every 3-years</w:t>
            </w:r>
          </w:p>
        </w:tc>
      </w:tr>
      <w:tr w:rsidR="00880271" w:rsidRPr="00880271" w14:paraId="0A48CD6F" w14:textId="77777777" w:rsidTr="001A2B42">
        <w:tc>
          <w:tcPr>
            <w:tcW w:w="5935" w:type="dxa"/>
          </w:tcPr>
          <w:p w14:paraId="17D320BE"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Bloodborne Pathogen (BBP) for Laboratory Personnel</w:t>
            </w:r>
          </w:p>
        </w:tc>
        <w:tc>
          <w:tcPr>
            <w:tcW w:w="3055" w:type="dxa"/>
          </w:tcPr>
          <w:p w14:paraId="199BD50B"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Annually</w:t>
            </w:r>
          </w:p>
        </w:tc>
      </w:tr>
      <w:tr w:rsidR="00880271" w:rsidRPr="00880271" w14:paraId="7B6DAB43" w14:textId="77777777" w:rsidTr="001A2B42">
        <w:tc>
          <w:tcPr>
            <w:tcW w:w="5935" w:type="dxa"/>
          </w:tcPr>
          <w:p w14:paraId="25FDC4E9"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Biological safety cabinets</w:t>
            </w:r>
          </w:p>
        </w:tc>
        <w:tc>
          <w:tcPr>
            <w:tcW w:w="3055" w:type="dxa"/>
          </w:tcPr>
          <w:p w14:paraId="1377F138"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One-time</w:t>
            </w:r>
          </w:p>
        </w:tc>
      </w:tr>
      <w:tr w:rsidR="00880271" w:rsidRPr="00880271" w14:paraId="34CE7524" w14:textId="77777777" w:rsidTr="001A2B42">
        <w:tc>
          <w:tcPr>
            <w:tcW w:w="5935" w:type="dxa"/>
          </w:tcPr>
          <w:p w14:paraId="395012D7"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Principles of Biosafety</w:t>
            </w:r>
          </w:p>
        </w:tc>
        <w:tc>
          <w:tcPr>
            <w:tcW w:w="3055" w:type="dxa"/>
          </w:tcPr>
          <w:p w14:paraId="4FEF925A"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Every 3-years</w:t>
            </w:r>
          </w:p>
        </w:tc>
      </w:tr>
      <w:tr w:rsidR="00880271" w:rsidRPr="00880271" w14:paraId="21854E0A" w14:textId="77777777" w:rsidTr="001A2B42">
        <w:tc>
          <w:tcPr>
            <w:tcW w:w="5935" w:type="dxa"/>
          </w:tcPr>
          <w:p w14:paraId="6F70B5E0"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Regulated Medical Waste</w:t>
            </w:r>
          </w:p>
        </w:tc>
        <w:tc>
          <w:tcPr>
            <w:tcW w:w="3055" w:type="dxa"/>
          </w:tcPr>
          <w:p w14:paraId="51FE3D5F" w14:textId="77777777" w:rsidR="00880271" w:rsidRPr="00880271" w:rsidRDefault="00880271" w:rsidP="00880271">
            <w:pPr>
              <w:contextualSpacing/>
              <w:rPr>
                <w:rFonts w:ascii="Aptos" w:eastAsia="Calibri" w:hAnsi="Aptos" w:cs="Times New Roman"/>
                <w:bCs/>
              </w:rPr>
            </w:pPr>
            <w:r w:rsidRPr="00880271">
              <w:rPr>
                <w:rFonts w:ascii="Aptos" w:eastAsia="Calibri" w:hAnsi="Aptos" w:cs="Times New Roman"/>
                <w:bCs/>
              </w:rPr>
              <w:t>Every 3-years</w:t>
            </w:r>
          </w:p>
        </w:tc>
      </w:tr>
    </w:tbl>
    <w:p w14:paraId="120F9806" w14:textId="77777777" w:rsidR="00880271" w:rsidRPr="00880271" w:rsidRDefault="00880271" w:rsidP="00880271">
      <w:pPr>
        <w:spacing w:after="0" w:line="240" w:lineRule="auto"/>
        <w:ind w:left="360"/>
        <w:contextualSpacing/>
        <w:rPr>
          <w:rFonts w:ascii="Aptos" w:eastAsia="Calibri" w:hAnsi="Aptos" w:cs="Times New Roman"/>
          <w:bCs/>
          <w:kern w:val="0"/>
          <w:sz w:val="22"/>
          <w:szCs w:val="22"/>
          <w14:ligatures w14:val="none"/>
        </w:rPr>
      </w:pPr>
    </w:p>
    <w:p w14:paraId="7B47CF1B" w14:textId="77777777" w:rsidR="00880271" w:rsidRDefault="00880271" w:rsidP="000A313A">
      <w:pPr>
        <w:numPr>
          <w:ilvl w:val="0"/>
          <w:numId w:val="24"/>
        </w:numPr>
        <w:spacing w:line="259" w:lineRule="auto"/>
        <w:contextualSpacing/>
        <w:rPr>
          <w:rFonts w:ascii="Aptos" w:eastAsia="Calibri" w:hAnsi="Aptos" w:cs="Times New Roman"/>
          <w:bCs/>
          <w:kern w:val="0"/>
          <w:sz w:val="22"/>
          <w:szCs w:val="22"/>
          <w14:ligatures w14:val="none"/>
        </w:rPr>
      </w:pPr>
      <w:r w:rsidRPr="00880271">
        <w:rPr>
          <w:rFonts w:ascii="Aptos" w:eastAsia="Calibri" w:hAnsi="Aptos" w:cs="Times New Roman"/>
          <w:bCs/>
          <w:kern w:val="0"/>
          <w:sz w:val="22"/>
          <w:szCs w:val="22"/>
          <w14:ligatures w14:val="none"/>
        </w:rPr>
        <w:t>Additional training through CITI, Initial Biosafety Training for IBC PIs and Staff, is also required every 3 years.</w:t>
      </w:r>
    </w:p>
    <w:p w14:paraId="70CB3DEC" w14:textId="77777777" w:rsidR="00275D53" w:rsidRDefault="00275D53" w:rsidP="00880271">
      <w:pPr>
        <w:spacing w:after="0" w:line="240" w:lineRule="auto"/>
        <w:rPr>
          <w:rFonts w:ascii="Aptos" w:hAnsi="Aptos" w:cs="Times New Roman"/>
          <w:b/>
        </w:rPr>
      </w:pPr>
    </w:p>
    <w:p w14:paraId="1A40CDD8" w14:textId="566EB2FE" w:rsidR="00880271" w:rsidRPr="00275D53" w:rsidRDefault="00880271" w:rsidP="00275D53">
      <w:pPr>
        <w:spacing w:after="120" w:line="240" w:lineRule="auto"/>
        <w:rPr>
          <w:rFonts w:cs="Times New Roman"/>
          <w:b/>
          <w:sz w:val="22"/>
          <w:szCs w:val="22"/>
        </w:rPr>
      </w:pPr>
      <w:r w:rsidRPr="00275D53">
        <w:rPr>
          <w:rFonts w:cs="Times New Roman"/>
          <w:b/>
          <w:sz w:val="22"/>
          <w:szCs w:val="22"/>
        </w:rPr>
        <w:t>Laboratory Safety Audit</w:t>
      </w:r>
    </w:p>
    <w:p w14:paraId="170A6124" w14:textId="3CE3C891" w:rsidR="00880271" w:rsidRPr="00275D53" w:rsidRDefault="00880271" w:rsidP="00275D53">
      <w:pPr>
        <w:spacing w:after="120" w:line="240" w:lineRule="auto"/>
        <w:rPr>
          <w:rFonts w:cs="Times New Roman"/>
          <w:bCs/>
          <w:sz w:val="22"/>
          <w:szCs w:val="22"/>
        </w:rPr>
      </w:pPr>
      <w:r w:rsidRPr="00275D53">
        <w:rPr>
          <w:rFonts w:cs="Times New Roman"/>
          <w:bCs/>
          <w:sz w:val="22"/>
          <w:szCs w:val="22"/>
        </w:rPr>
        <w:t xml:space="preserve">Laboratories will be assessed for safety standards by the Office of Safety, on behalf of the IBC. This assessment is to be performed annually and must be completed prior to </w:t>
      </w:r>
      <w:r w:rsidR="00737D63">
        <w:rPr>
          <w:rFonts w:cs="Times New Roman"/>
          <w:bCs/>
          <w:sz w:val="22"/>
          <w:szCs w:val="22"/>
        </w:rPr>
        <w:t xml:space="preserve">IBC protocol </w:t>
      </w:r>
      <w:r w:rsidRPr="00275D53">
        <w:rPr>
          <w:rFonts w:cs="Times New Roman"/>
          <w:bCs/>
          <w:sz w:val="22"/>
          <w:szCs w:val="22"/>
        </w:rPr>
        <w:t xml:space="preserve">approval. </w:t>
      </w:r>
    </w:p>
    <w:p w14:paraId="1199D000" w14:textId="77777777" w:rsidR="00880271" w:rsidRPr="00880271" w:rsidRDefault="00880271" w:rsidP="00275D53">
      <w:pPr>
        <w:spacing w:after="120" w:line="240" w:lineRule="auto"/>
        <w:contextualSpacing/>
        <w:rPr>
          <w:rFonts w:eastAsia="Calibri" w:cs="Times New Roman"/>
          <w:bCs/>
          <w:kern w:val="0"/>
          <w:sz w:val="22"/>
          <w:szCs w:val="22"/>
          <w14:ligatures w14:val="none"/>
        </w:rPr>
      </w:pPr>
    </w:p>
    <w:p w14:paraId="6FB265D8" w14:textId="7DADB5FA" w:rsidR="00880271" w:rsidRPr="00275D53" w:rsidRDefault="00880271" w:rsidP="00275D53">
      <w:pPr>
        <w:spacing w:after="120" w:line="240" w:lineRule="auto"/>
        <w:rPr>
          <w:rFonts w:eastAsia="Calibri" w:cs="Times New Roman"/>
          <w:b/>
          <w:kern w:val="0"/>
          <w:sz w:val="22"/>
          <w:szCs w:val="22"/>
          <w14:ligatures w14:val="none"/>
        </w:rPr>
      </w:pPr>
      <w:r w:rsidRPr="00275D53">
        <w:rPr>
          <w:rFonts w:eastAsia="Calibri" w:cs="Times New Roman"/>
          <w:b/>
          <w:kern w:val="0"/>
          <w:sz w:val="22"/>
          <w:szCs w:val="22"/>
          <w14:ligatures w14:val="none"/>
        </w:rPr>
        <w:lastRenderedPageBreak/>
        <w:t>Renewals and Changes to Previously Approved Research</w:t>
      </w:r>
    </w:p>
    <w:p w14:paraId="29FA0974" w14:textId="77777777" w:rsidR="00880271" w:rsidRPr="00880271" w:rsidRDefault="00880271" w:rsidP="000A313A">
      <w:pPr>
        <w:numPr>
          <w:ilvl w:val="0"/>
          <w:numId w:val="38"/>
        </w:numPr>
        <w:spacing w:after="120" w:line="240" w:lineRule="auto"/>
        <w:contextualSpacing/>
        <w:rPr>
          <w:rFonts w:eastAsia="Calibri" w:cs="Times New Roman"/>
          <w:bCs/>
          <w:kern w:val="0"/>
          <w:sz w:val="22"/>
          <w:szCs w:val="22"/>
          <w:u w:val="single"/>
          <w14:ligatures w14:val="none"/>
        </w:rPr>
      </w:pPr>
      <w:r w:rsidRPr="00880271">
        <w:rPr>
          <w:rFonts w:eastAsia="Calibri" w:cs="Times New Roman"/>
          <w:bCs/>
          <w:kern w:val="0"/>
          <w:sz w:val="22"/>
          <w:szCs w:val="22"/>
          <w:u w:val="single"/>
          <w14:ligatures w14:val="none"/>
        </w:rPr>
        <w:t>Annual review</w:t>
      </w:r>
    </w:p>
    <w:p w14:paraId="784975E3" w14:textId="1F96089C" w:rsidR="00880271" w:rsidRPr="00275D53" w:rsidRDefault="00880271" w:rsidP="000A313A">
      <w:pPr>
        <w:pStyle w:val="ListParagraph"/>
        <w:numPr>
          <w:ilvl w:val="1"/>
          <w:numId w:val="38"/>
        </w:numPr>
        <w:spacing w:after="120" w:line="240" w:lineRule="auto"/>
        <w:rPr>
          <w:rFonts w:eastAsia="Calibri" w:cs="Times New Roman"/>
          <w:bCs/>
          <w:kern w:val="0"/>
          <w:sz w:val="22"/>
          <w:szCs w:val="22"/>
          <w14:ligatures w14:val="none"/>
        </w:rPr>
      </w:pPr>
      <w:r w:rsidRPr="00275D53">
        <w:rPr>
          <w:rFonts w:eastAsia="Calibri" w:cs="Times New Roman"/>
          <w:bCs/>
          <w:kern w:val="0"/>
          <w:sz w:val="22"/>
          <w:szCs w:val="22"/>
          <w14:ligatures w14:val="none"/>
        </w:rPr>
        <w:t>Post approval monitoring is done through the annual review. Completion of personnel training requirements is monitored</w:t>
      </w:r>
      <w:r w:rsidR="00DA1202">
        <w:rPr>
          <w:rFonts w:eastAsia="Calibri" w:cs="Times New Roman"/>
          <w:bCs/>
          <w:kern w:val="0"/>
          <w:sz w:val="22"/>
          <w:szCs w:val="22"/>
          <w14:ligatures w14:val="none"/>
        </w:rPr>
        <w:t>,</w:t>
      </w:r>
      <w:r w:rsidRPr="00275D53">
        <w:rPr>
          <w:rFonts w:eastAsia="Calibri" w:cs="Times New Roman"/>
          <w:bCs/>
          <w:kern w:val="0"/>
          <w:sz w:val="22"/>
          <w:szCs w:val="22"/>
          <w14:ligatures w14:val="none"/>
        </w:rPr>
        <w:t xml:space="preserve"> and the laboratory safety audit may be scheduled during this time.</w:t>
      </w:r>
    </w:p>
    <w:p w14:paraId="353C81FF" w14:textId="77777777" w:rsidR="00880271" w:rsidRPr="00880271" w:rsidRDefault="00880271" w:rsidP="000A313A">
      <w:pPr>
        <w:numPr>
          <w:ilvl w:val="0"/>
          <w:numId w:val="38"/>
        </w:numPr>
        <w:spacing w:after="120" w:line="240" w:lineRule="auto"/>
        <w:contextualSpacing/>
        <w:rPr>
          <w:rFonts w:eastAsia="Calibri" w:cs="Times New Roman"/>
          <w:bCs/>
          <w:kern w:val="0"/>
          <w:sz w:val="22"/>
          <w:szCs w:val="22"/>
          <w:u w:val="single"/>
          <w14:ligatures w14:val="none"/>
        </w:rPr>
      </w:pPr>
      <w:r w:rsidRPr="00880271">
        <w:rPr>
          <w:rFonts w:eastAsia="Calibri" w:cs="Times New Roman"/>
          <w:bCs/>
          <w:kern w:val="0"/>
          <w:sz w:val="22"/>
          <w:szCs w:val="22"/>
          <w:u w:val="single"/>
          <w14:ligatures w14:val="none"/>
        </w:rPr>
        <w:t>3-year Renewal</w:t>
      </w:r>
    </w:p>
    <w:p w14:paraId="6D53E947" w14:textId="6AD2AE7B" w:rsidR="00880271" w:rsidRPr="00275D53" w:rsidRDefault="00880271" w:rsidP="000A313A">
      <w:pPr>
        <w:pStyle w:val="ListParagraph"/>
        <w:numPr>
          <w:ilvl w:val="1"/>
          <w:numId w:val="38"/>
        </w:numPr>
        <w:spacing w:after="120" w:line="240" w:lineRule="auto"/>
        <w:rPr>
          <w:rFonts w:eastAsia="Calibri" w:cs="Times New Roman"/>
          <w:bCs/>
          <w:kern w:val="0"/>
          <w:sz w:val="22"/>
          <w:szCs w:val="22"/>
          <w14:ligatures w14:val="none"/>
        </w:rPr>
      </w:pPr>
      <w:r w:rsidRPr="00275D53">
        <w:rPr>
          <w:rFonts w:eastAsia="Calibri" w:cs="Times New Roman"/>
          <w:bCs/>
          <w:kern w:val="0"/>
          <w:sz w:val="22"/>
          <w:szCs w:val="22"/>
          <w14:ligatures w14:val="none"/>
        </w:rPr>
        <w:t>Every three years projects</w:t>
      </w:r>
      <w:r w:rsidR="000260AF">
        <w:rPr>
          <w:rFonts w:eastAsia="Calibri" w:cs="Times New Roman"/>
          <w:bCs/>
          <w:kern w:val="0"/>
          <w:sz w:val="22"/>
          <w:szCs w:val="22"/>
          <w14:ligatures w14:val="none"/>
        </w:rPr>
        <w:t xml:space="preserve"> must be renewed.</w:t>
      </w:r>
      <w:r w:rsidRPr="00275D53">
        <w:rPr>
          <w:rFonts w:eastAsia="Calibri" w:cs="Times New Roman"/>
          <w:bCs/>
          <w:kern w:val="0"/>
          <w:sz w:val="22"/>
          <w:szCs w:val="22"/>
          <w14:ligatures w14:val="none"/>
        </w:rPr>
        <w:t xml:space="preserve"> The Novelution system sends out notifications</w:t>
      </w:r>
      <w:r w:rsidR="000260AF">
        <w:rPr>
          <w:rFonts w:eastAsia="Calibri" w:cs="Times New Roman"/>
          <w:bCs/>
          <w:kern w:val="0"/>
          <w:sz w:val="22"/>
          <w:szCs w:val="22"/>
          <w14:ligatures w14:val="none"/>
        </w:rPr>
        <w:t xml:space="preserve"> to remind the researcher that the renewal is coming due</w:t>
      </w:r>
      <w:r w:rsidRPr="00275D53">
        <w:rPr>
          <w:rFonts w:eastAsia="Calibri" w:cs="Times New Roman"/>
          <w:bCs/>
          <w:kern w:val="0"/>
          <w:sz w:val="22"/>
          <w:szCs w:val="22"/>
          <w14:ligatures w14:val="none"/>
        </w:rPr>
        <w:t>.</w:t>
      </w:r>
      <w:r w:rsidR="000260AF">
        <w:rPr>
          <w:rFonts w:eastAsia="Calibri" w:cs="Times New Roman"/>
          <w:bCs/>
          <w:kern w:val="0"/>
          <w:sz w:val="22"/>
          <w:szCs w:val="22"/>
          <w14:ligatures w14:val="none"/>
        </w:rPr>
        <w:t xml:space="preserve"> Renewals must be completed </w:t>
      </w:r>
      <w:r w:rsidR="00091407">
        <w:rPr>
          <w:rFonts w:eastAsia="Calibri" w:cs="Times New Roman"/>
          <w:bCs/>
          <w:kern w:val="0"/>
          <w:sz w:val="22"/>
          <w:szCs w:val="22"/>
          <w14:ligatures w14:val="none"/>
        </w:rPr>
        <w:t>on</w:t>
      </w:r>
      <w:r w:rsidR="00983C59">
        <w:rPr>
          <w:rFonts w:eastAsia="Calibri" w:cs="Times New Roman"/>
          <w:bCs/>
          <w:kern w:val="0"/>
          <w:sz w:val="22"/>
          <w:szCs w:val="22"/>
          <w14:ligatures w14:val="none"/>
        </w:rPr>
        <w:t xml:space="preserve"> or </w:t>
      </w:r>
      <w:r w:rsidR="000260AF">
        <w:rPr>
          <w:rFonts w:eastAsia="Calibri" w:cs="Times New Roman"/>
          <w:bCs/>
          <w:kern w:val="0"/>
          <w:sz w:val="22"/>
          <w:szCs w:val="22"/>
          <w14:ligatures w14:val="none"/>
        </w:rPr>
        <w:t>b</w:t>
      </w:r>
      <w:r w:rsidR="00091407">
        <w:rPr>
          <w:rFonts w:eastAsia="Calibri" w:cs="Times New Roman"/>
          <w:bCs/>
          <w:kern w:val="0"/>
          <w:sz w:val="22"/>
          <w:szCs w:val="22"/>
          <w14:ligatures w14:val="none"/>
        </w:rPr>
        <w:t>efore</w:t>
      </w:r>
      <w:r w:rsidR="000260AF">
        <w:rPr>
          <w:rFonts w:eastAsia="Calibri" w:cs="Times New Roman"/>
          <w:bCs/>
          <w:kern w:val="0"/>
          <w:sz w:val="22"/>
          <w:szCs w:val="22"/>
          <w14:ligatures w14:val="none"/>
        </w:rPr>
        <w:t xml:space="preserve"> the </w:t>
      </w:r>
      <w:r w:rsidR="00983C59">
        <w:rPr>
          <w:rFonts w:eastAsia="Calibri" w:cs="Times New Roman"/>
          <w:bCs/>
          <w:kern w:val="0"/>
          <w:sz w:val="22"/>
          <w:szCs w:val="22"/>
          <w14:ligatures w14:val="none"/>
        </w:rPr>
        <w:t>three-year mark.</w:t>
      </w:r>
    </w:p>
    <w:p w14:paraId="47293A3C" w14:textId="77777777" w:rsidR="00880271" w:rsidRPr="00880271" w:rsidRDefault="00880271" w:rsidP="000A313A">
      <w:pPr>
        <w:numPr>
          <w:ilvl w:val="0"/>
          <w:numId w:val="38"/>
        </w:numPr>
        <w:spacing w:after="120" w:line="240" w:lineRule="auto"/>
        <w:contextualSpacing/>
        <w:rPr>
          <w:rFonts w:eastAsia="Calibri" w:cs="Times New Roman"/>
          <w:bCs/>
          <w:kern w:val="0"/>
          <w:sz w:val="22"/>
          <w:szCs w:val="22"/>
          <w:u w:val="single"/>
          <w14:ligatures w14:val="none"/>
        </w:rPr>
      </w:pPr>
      <w:r w:rsidRPr="00880271">
        <w:rPr>
          <w:rFonts w:eastAsia="Calibri" w:cs="Times New Roman"/>
          <w:bCs/>
          <w:kern w:val="0"/>
          <w:sz w:val="22"/>
          <w:szCs w:val="22"/>
          <w:u w:val="single"/>
          <w14:ligatures w14:val="none"/>
        </w:rPr>
        <w:t>Amendments</w:t>
      </w:r>
    </w:p>
    <w:p w14:paraId="13ABE9F0" w14:textId="77777777" w:rsidR="00880271" w:rsidRPr="00275D53" w:rsidRDefault="00880271" w:rsidP="000A313A">
      <w:pPr>
        <w:pStyle w:val="ListParagraph"/>
        <w:numPr>
          <w:ilvl w:val="1"/>
          <w:numId w:val="38"/>
        </w:numPr>
        <w:spacing w:after="120" w:line="240" w:lineRule="auto"/>
        <w:rPr>
          <w:rFonts w:eastAsia="Calibri" w:cs="Times New Roman"/>
          <w:bCs/>
          <w:kern w:val="0"/>
          <w:sz w:val="22"/>
          <w:szCs w:val="22"/>
          <w14:ligatures w14:val="none"/>
        </w:rPr>
      </w:pPr>
      <w:r w:rsidRPr="00275D53">
        <w:rPr>
          <w:rFonts w:eastAsia="Calibri" w:cs="Times New Roman"/>
          <w:bCs/>
          <w:kern w:val="0"/>
          <w:sz w:val="22"/>
          <w:szCs w:val="22"/>
          <w14:ligatures w14:val="none"/>
        </w:rPr>
        <w:t>To modify or make any significant changes to a research protocol already approved by the IBC (e.g., any changes related to laboratory equipment that may generate aerosols, research procedures, lab locations, gene inserts, biohazardous agents, etc.), the PI should login to the protocol and use the amendment button to create an amendment in Novelution. If the protocol has not been approved by the committee yet, the PI should work with the IBC/IACUC Coordinator to make edits.</w:t>
      </w:r>
    </w:p>
    <w:p w14:paraId="453A635F" w14:textId="77777777" w:rsidR="00880271" w:rsidRPr="00880271" w:rsidRDefault="00880271" w:rsidP="000A313A">
      <w:pPr>
        <w:numPr>
          <w:ilvl w:val="0"/>
          <w:numId w:val="38"/>
        </w:numPr>
        <w:spacing w:after="120" w:line="240" w:lineRule="auto"/>
        <w:contextualSpacing/>
        <w:rPr>
          <w:rFonts w:eastAsia="Calibri" w:cs="Times New Roman"/>
          <w:bCs/>
          <w:kern w:val="0"/>
          <w:sz w:val="22"/>
          <w:szCs w:val="22"/>
          <w:u w:val="single"/>
          <w14:ligatures w14:val="none"/>
        </w:rPr>
      </w:pPr>
      <w:r w:rsidRPr="00880271">
        <w:rPr>
          <w:rFonts w:eastAsia="Calibri" w:cs="Times New Roman"/>
          <w:bCs/>
          <w:kern w:val="0"/>
          <w:sz w:val="22"/>
          <w:szCs w:val="22"/>
          <w:u w:val="single"/>
          <w14:ligatures w14:val="none"/>
        </w:rPr>
        <w:t>Termination</w:t>
      </w:r>
    </w:p>
    <w:p w14:paraId="499A6498" w14:textId="20DD7A74" w:rsidR="00880271" w:rsidRPr="00737D63" w:rsidRDefault="00880271" w:rsidP="000A313A">
      <w:pPr>
        <w:pStyle w:val="ListParagraph"/>
        <w:numPr>
          <w:ilvl w:val="1"/>
          <w:numId w:val="38"/>
        </w:numPr>
        <w:spacing w:after="120" w:line="240" w:lineRule="auto"/>
        <w:rPr>
          <w:rFonts w:eastAsia="Calibri" w:cs="Times New Roman"/>
          <w:bCs/>
          <w:kern w:val="0"/>
          <w:sz w:val="22"/>
          <w:szCs w:val="22"/>
          <w14:ligatures w14:val="none"/>
        </w:rPr>
      </w:pPr>
      <w:r w:rsidRPr="00737D63">
        <w:rPr>
          <w:rFonts w:eastAsia="Calibri" w:cs="Times New Roman"/>
          <w:bCs/>
          <w:kern w:val="0"/>
          <w:sz w:val="22"/>
          <w:szCs w:val="22"/>
          <w14:ligatures w14:val="none"/>
        </w:rPr>
        <w:t>Investigators leaving the institution or ceasing their activities with biohazardous materials are</w:t>
      </w:r>
      <w:r w:rsidR="00737D63" w:rsidRPr="00737D63">
        <w:rPr>
          <w:rFonts w:eastAsia="Calibri" w:cs="Times New Roman"/>
          <w:bCs/>
          <w:kern w:val="0"/>
          <w:sz w:val="22"/>
          <w:szCs w:val="22"/>
          <w14:ligatures w14:val="none"/>
        </w:rPr>
        <w:t xml:space="preserve"> </w:t>
      </w:r>
      <w:r w:rsidRPr="00737D63">
        <w:rPr>
          <w:rFonts w:eastAsia="Calibri" w:cs="Times New Roman"/>
          <w:bCs/>
          <w:kern w:val="0"/>
          <w:sz w:val="22"/>
          <w:szCs w:val="22"/>
          <w14:ligatures w14:val="none"/>
        </w:rPr>
        <w:t xml:space="preserve">required to submit a termination request to the IBC. </w:t>
      </w:r>
    </w:p>
    <w:p w14:paraId="247BD20E" w14:textId="029EDE87" w:rsidR="00983C59" w:rsidRPr="004811FC" w:rsidRDefault="004811FC" w:rsidP="004811FC">
      <w:pPr>
        <w:numPr>
          <w:ilvl w:val="0"/>
          <w:numId w:val="19"/>
        </w:numPr>
        <w:spacing w:after="120" w:line="240" w:lineRule="auto"/>
        <w:contextualSpacing/>
        <w:rPr>
          <w:b/>
          <w:bCs/>
          <w:sz w:val="28"/>
          <w:szCs w:val="28"/>
        </w:rPr>
      </w:pPr>
      <w:r w:rsidRPr="004811FC">
        <w:rPr>
          <w:rFonts w:eastAsia="Calibri" w:cs="Times New Roman"/>
          <w:bCs/>
          <w:kern w:val="0"/>
          <w:sz w:val="22"/>
          <w:szCs w:val="22"/>
          <w14:ligatures w14:val="none"/>
        </w:rPr>
        <w:t>All new and renewal IBC protocols must be submitted via the online protocol submission system (</w:t>
      </w:r>
      <w:hyperlink r:id="rId28" w:history="1">
        <w:r w:rsidR="00983C59" w:rsidRPr="00580E70">
          <w:rPr>
            <w:rStyle w:val="Hyperlink"/>
            <w:rFonts w:eastAsia="Calibri" w:cs="Times New Roman"/>
            <w:bCs/>
            <w:color w:val="215E99" w:themeColor="text2" w:themeTint="BF"/>
            <w:kern w:val="0"/>
            <w:sz w:val="22"/>
            <w:szCs w:val="22"/>
            <w14:ligatures w14:val="none"/>
          </w:rPr>
          <w:t>https://und.edu/research/resources/committees/institutional-biosafety-committee.html</w:t>
        </w:r>
      </w:hyperlink>
      <w:r w:rsidRPr="004811FC">
        <w:rPr>
          <w:rFonts w:eastAsia="Calibri" w:cs="Times New Roman"/>
          <w:bCs/>
          <w:kern w:val="0"/>
          <w:sz w:val="22"/>
          <w:szCs w:val="22"/>
          <w14:ligatures w14:val="none"/>
        </w:rPr>
        <w:t>)</w:t>
      </w:r>
      <w:r w:rsidR="00983C59" w:rsidRPr="004811FC">
        <w:rPr>
          <w:rFonts w:eastAsia="Calibri" w:cs="Times New Roman"/>
          <w:bCs/>
          <w:kern w:val="0"/>
          <w:sz w:val="22"/>
          <w:szCs w:val="22"/>
          <w14:ligatures w14:val="none"/>
        </w:rPr>
        <w:t xml:space="preserve"> </w:t>
      </w:r>
      <w:r w:rsidR="00880271" w:rsidRPr="004811FC">
        <w:rPr>
          <w:rFonts w:eastAsia="Calibri" w:cs="Times New Roman"/>
          <w:bCs/>
          <w:kern w:val="0"/>
          <w:sz w:val="22"/>
          <w:szCs w:val="22"/>
          <w14:ligatures w14:val="none"/>
        </w:rPr>
        <w:t xml:space="preserve">. </w:t>
      </w:r>
      <w:bookmarkStart w:id="13" w:name="S4RiskGroupClassification"/>
      <w:r w:rsidR="00983C59" w:rsidRPr="004811FC">
        <w:rPr>
          <w:b/>
          <w:bCs/>
          <w:sz w:val="28"/>
          <w:szCs w:val="28"/>
        </w:rPr>
        <w:br w:type="page"/>
      </w:r>
    </w:p>
    <w:p w14:paraId="268791EF" w14:textId="715D5466" w:rsidR="007C65DA" w:rsidRDefault="007C65DA" w:rsidP="00737D63">
      <w:pPr>
        <w:rPr>
          <w:b/>
          <w:bCs/>
          <w:sz w:val="28"/>
          <w:szCs w:val="28"/>
        </w:rPr>
      </w:pPr>
      <w:r w:rsidRPr="00DA1202">
        <w:rPr>
          <w:b/>
          <w:bCs/>
          <w:sz w:val="28"/>
          <w:szCs w:val="28"/>
        </w:rPr>
        <w:lastRenderedPageBreak/>
        <w:t xml:space="preserve">SECTION </w:t>
      </w:r>
      <w:r w:rsidR="00737D63">
        <w:rPr>
          <w:b/>
          <w:bCs/>
          <w:sz w:val="28"/>
          <w:szCs w:val="28"/>
        </w:rPr>
        <w:t>4</w:t>
      </w:r>
      <w:r w:rsidRPr="00DA1202">
        <w:rPr>
          <w:b/>
          <w:bCs/>
          <w:sz w:val="28"/>
          <w:szCs w:val="28"/>
        </w:rPr>
        <w:t>: RISK GROUP CLASSIFICATION</w:t>
      </w:r>
    </w:p>
    <w:bookmarkEnd w:id="13"/>
    <w:p w14:paraId="20B85864" w14:textId="77777777" w:rsidR="00886C31" w:rsidRPr="00737D63" w:rsidRDefault="00886C31" w:rsidP="00275D53">
      <w:pPr>
        <w:spacing w:after="120" w:line="240" w:lineRule="auto"/>
        <w:rPr>
          <w:b/>
          <w:bCs/>
          <w:sz w:val="22"/>
          <w:szCs w:val="22"/>
        </w:rPr>
      </w:pPr>
    </w:p>
    <w:p w14:paraId="69634D3F" w14:textId="4C49B33C" w:rsidR="00886C31" w:rsidRDefault="007C65DA" w:rsidP="00275D53">
      <w:pPr>
        <w:spacing w:after="120" w:line="240" w:lineRule="auto"/>
        <w:rPr>
          <w:sz w:val="22"/>
          <w:szCs w:val="22"/>
        </w:rPr>
      </w:pPr>
      <w:r w:rsidRPr="00275D53">
        <w:rPr>
          <w:sz w:val="22"/>
          <w:szCs w:val="22"/>
        </w:rPr>
        <w:t>Risk groups are a method used by the National Institutes of Health (NIH)</w:t>
      </w:r>
      <w:r w:rsidR="00A035D4" w:rsidRPr="00275D53">
        <w:rPr>
          <w:sz w:val="22"/>
          <w:szCs w:val="22"/>
        </w:rPr>
        <w:t xml:space="preserve"> and</w:t>
      </w:r>
      <w:r w:rsidR="00A035D4" w:rsidRPr="00275D53">
        <w:rPr>
          <w:rFonts w:eastAsia="Calibri" w:cs="Times New Roman"/>
          <w:kern w:val="0"/>
          <w:sz w:val="22"/>
          <w:szCs w:val="22"/>
          <w14:ligatures w14:val="none"/>
        </w:rPr>
        <w:t xml:space="preserve"> by the World Health Organization (WHO) </w:t>
      </w:r>
      <w:r w:rsidRPr="00275D53">
        <w:rPr>
          <w:sz w:val="22"/>
          <w:szCs w:val="22"/>
        </w:rPr>
        <w:t>to classify human infectious agents on the basis of hazard. There are four risk groups which are classified according to their relative pathogenicity for healthy adult humans.</w:t>
      </w:r>
    </w:p>
    <w:p w14:paraId="444B5ADA" w14:textId="77777777" w:rsidR="0029570E" w:rsidRPr="001F05A4" w:rsidRDefault="0029570E" w:rsidP="00275D53">
      <w:pPr>
        <w:spacing w:after="120" w:line="240" w:lineRule="auto"/>
        <w:rPr>
          <w:sz w:val="22"/>
          <w:szCs w:val="22"/>
        </w:rPr>
      </w:pPr>
    </w:p>
    <w:tbl>
      <w:tblPr>
        <w:tblStyle w:val="TableGrid1"/>
        <w:tblW w:w="9445" w:type="dxa"/>
        <w:tblLook w:val="04A0" w:firstRow="1" w:lastRow="0" w:firstColumn="1" w:lastColumn="0" w:noHBand="0" w:noVBand="1"/>
      </w:tblPr>
      <w:tblGrid>
        <w:gridCol w:w="1950"/>
        <w:gridCol w:w="3121"/>
        <w:gridCol w:w="4374"/>
      </w:tblGrid>
      <w:tr w:rsidR="00A035D4" w:rsidRPr="0014205E" w14:paraId="11AED696" w14:textId="77777777" w:rsidTr="006F6990">
        <w:tc>
          <w:tcPr>
            <w:tcW w:w="1610" w:type="dxa"/>
            <w:shd w:val="clear" w:color="auto" w:fill="59A56D"/>
          </w:tcPr>
          <w:p w14:paraId="385F827C" w14:textId="070B2CD5" w:rsidR="00A035D4" w:rsidRPr="006F6990" w:rsidRDefault="00A035D4" w:rsidP="0014205E">
            <w:pPr>
              <w:spacing w:after="120"/>
              <w:contextualSpacing/>
              <w:rPr>
                <w:rFonts w:eastAsia="Calibri" w:cs="Times New Roman"/>
                <w:b/>
                <w:color w:val="FFFFFF" w:themeColor="background1"/>
              </w:rPr>
            </w:pPr>
            <w:r w:rsidRPr="006F6990">
              <w:rPr>
                <w:rFonts w:eastAsia="Calibri" w:cs="Times New Roman"/>
                <w:b/>
                <w:color w:val="FFFFFF" w:themeColor="background1"/>
              </w:rPr>
              <w:t>Risk Group Classification</w:t>
            </w:r>
            <w:r w:rsidR="00833822">
              <w:rPr>
                <w:rFonts w:eastAsia="Calibri" w:cs="Times New Roman"/>
                <w:b/>
                <w:color w:val="FFFFFF" w:themeColor="background1"/>
              </w:rPr>
              <w:t>/ Examples</w:t>
            </w:r>
          </w:p>
        </w:tc>
        <w:tc>
          <w:tcPr>
            <w:tcW w:w="3245" w:type="dxa"/>
            <w:shd w:val="clear" w:color="auto" w:fill="59A56D"/>
          </w:tcPr>
          <w:p w14:paraId="431D9C39" w14:textId="77777777" w:rsidR="00A035D4" w:rsidRPr="006F6990" w:rsidRDefault="00A035D4" w:rsidP="0014205E">
            <w:pPr>
              <w:spacing w:after="120"/>
              <w:contextualSpacing/>
              <w:rPr>
                <w:rFonts w:eastAsia="Calibri" w:cs="Times New Roman"/>
                <w:b/>
                <w:color w:val="FFFFFF" w:themeColor="background1"/>
              </w:rPr>
            </w:pPr>
            <w:r w:rsidRPr="006F6990">
              <w:rPr>
                <w:rFonts w:eastAsia="Calibri" w:cs="Times New Roman"/>
                <w:b/>
                <w:color w:val="FFFFFF" w:themeColor="background1"/>
              </w:rPr>
              <w:t>NIH Guidelines for Research Involving Recombinant DNA Molecules (2024)</w:t>
            </w:r>
          </w:p>
        </w:tc>
        <w:tc>
          <w:tcPr>
            <w:tcW w:w="4590" w:type="dxa"/>
            <w:shd w:val="clear" w:color="auto" w:fill="59A56D"/>
          </w:tcPr>
          <w:p w14:paraId="61FF13FE" w14:textId="77777777" w:rsidR="00A035D4" w:rsidRPr="006F6990" w:rsidRDefault="00A035D4" w:rsidP="0014205E">
            <w:pPr>
              <w:spacing w:after="120"/>
              <w:contextualSpacing/>
              <w:rPr>
                <w:rFonts w:eastAsia="Calibri" w:cs="Times New Roman"/>
                <w:b/>
                <w:color w:val="FFFFFF" w:themeColor="background1"/>
              </w:rPr>
            </w:pPr>
            <w:r w:rsidRPr="006F6990">
              <w:rPr>
                <w:rFonts w:eastAsia="Calibri" w:cs="Times New Roman"/>
                <w:b/>
                <w:color w:val="FFFFFF" w:themeColor="background1"/>
              </w:rPr>
              <w:t>World Health Organization Laboratory Biosafety Manual (4</w:t>
            </w:r>
            <w:r w:rsidRPr="006F6990">
              <w:rPr>
                <w:rFonts w:eastAsia="Calibri" w:cs="Times New Roman"/>
                <w:b/>
                <w:color w:val="FFFFFF" w:themeColor="background1"/>
                <w:vertAlign w:val="superscript"/>
              </w:rPr>
              <w:t>th</w:t>
            </w:r>
            <w:r w:rsidRPr="006F6990">
              <w:rPr>
                <w:rFonts w:eastAsia="Calibri" w:cs="Times New Roman"/>
                <w:b/>
                <w:color w:val="FFFFFF" w:themeColor="background1"/>
              </w:rPr>
              <w:t xml:space="preserve"> Edition)</w:t>
            </w:r>
          </w:p>
        </w:tc>
      </w:tr>
      <w:tr w:rsidR="00A035D4" w:rsidRPr="0014205E" w14:paraId="3432DC0D" w14:textId="77777777" w:rsidTr="001A2B42">
        <w:tc>
          <w:tcPr>
            <w:tcW w:w="1610" w:type="dxa"/>
          </w:tcPr>
          <w:p w14:paraId="34C538FB" w14:textId="77777777" w:rsidR="00A035D4" w:rsidRDefault="00A035D4" w:rsidP="0014205E">
            <w:pPr>
              <w:spacing w:after="120"/>
              <w:contextualSpacing/>
              <w:rPr>
                <w:rFonts w:eastAsia="Calibri" w:cs="Times New Roman"/>
                <w:b/>
              </w:rPr>
            </w:pPr>
            <w:r w:rsidRPr="00A035D4">
              <w:rPr>
                <w:rFonts w:eastAsia="Calibri" w:cs="Times New Roman"/>
                <w:b/>
              </w:rPr>
              <w:t>Risk Group 1</w:t>
            </w:r>
          </w:p>
          <w:p w14:paraId="6CB02A83" w14:textId="52F078E1" w:rsidR="00833822" w:rsidRDefault="00833822" w:rsidP="00833822">
            <w:pPr>
              <w:pStyle w:val="ListParagraph"/>
              <w:numPr>
                <w:ilvl w:val="0"/>
                <w:numId w:val="94"/>
              </w:numPr>
              <w:spacing w:after="120"/>
              <w:rPr>
                <w:rFonts w:eastAsia="Calibri" w:cs="Times New Roman"/>
                <w:bCs/>
              </w:rPr>
            </w:pPr>
            <w:r w:rsidRPr="00833822">
              <w:rPr>
                <w:rFonts w:eastAsia="Calibri" w:cs="Times New Roman"/>
                <w:bCs/>
                <w:i/>
                <w:iCs/>
              </w:rPr>
              <w:t>E.</w:t>
            </w:r>
            <w:r w:rsidR="00580E70">
              <w:rPr>
                <w:rFonts w:eastAsia="Calibri" w:cs="Times New Roman"/>
                <w:bCs/>
                <w:i/>
                <w:iCs/>
              </w:rPr>
              <w:t xml:space="preserve"> </w:t>
            </w:r>
            <w:r w:rsidRPr="00833822">
              <w:rPr>
                <w:rFonts w:eastAsia="Calibri" w:cs="Times New Roman"/>
                <w:bCs/>
                <w:i/>
                <w:iCs/>
              </w:rPr>
              <w:t>coli</w:t>
            </w:r>
            <w:r w:rsidRPr="00833822">
              <w:rPr>
                <w:rFonts w:eastAsia="Calibri" w:cs="Times New Roman"/>
                <w:bCs/>
              </w:rPr>
              <w:t xml:space="preserve"> K12</w:t>
            </w:r>
          </w:p>
          <w:p w14:paraId="7B6AEDC3" w14:textId="29C15B60" w:rsidR="00833822" w:rsidRPr="00833822" w:rsidRDefault="00833822" w:rsidP="00833822">
            <w:pPr>
              <w:pStyle w:val="ListParagraph"/>
              <w:numPr>
                <w:ilvl w:val="0"/>
                <w:numId w:val="94"/>
              </w:numPr>
              <w:spacing w:after="120"/>
              <w:rPr>
                <w:rFonts w:eastAsia="Calibri" w:cs="Times New Roman"/>
                <w:bCs/>
                <w:i/>
                <w:iCs/>
              </w:rPr>
            </w:pPr>
            <w:r w:rsidRPr="00833822">
              <w:rPr>
                <w:rFonts w:eastAsia="Calibri" w:cs="Times New Roman"/>
                <w:bCs/>
                <w:i/>
                <w:iCs/>
              </w:rPr>
              <w:t>Bacillus subtilis</w:t>
            </w:r>
          </w:p>
        </w:tc>
        <w:tc>
          <w:tcPr>
            <w:tcW w:w="3245" w:type="dxa"/>
          </w:tcPr>
          <w:p w14:paraId="503057A9" w14:textId="77777777" w:rsidR="00A035D4" w:rsidRPr="00A035D4" w:rsidRDefault="00A035D4" w:rsidP="0014205E">
            <w:pPr>
              <w:spacing w:after="120"/>
              <w:contextualSpacing/>
              <w:rPr>
                <w:rFonts w:eastAsia="Calibri" w:cs="Times New Roman"/>
                <w:bCs/>
              </w:rPr>
            </w:pPr>
            <w:r w:rsidRPr="00A035D4">
              <w:rPr>
                <w:rFonts w:eastAsia="Calibri" w:cs="Times New Roman"/>
                <w:bCs/>
              </w:rPr>
              <w:t>Agents that are not associated with disease in healthy adult humans</w:t>
            </w:r>
          </w:p>
        </w:tc>
        <w:tc>
          <w:tcPr>
            <w:tcW w:w="4590" w:type="dxa"/>
          </w:tcPr>
          <w:p w14:paraId="699FD81E" w14:textId="325D6A69" w:rsidR="0029570E" w:rsidRPr="00A035D4" w:rsidRDefault="00A035D4" w:rsidP="0014205E">
            <w:pPr>
              <w:spacing w:after="120"/>
              <w:rPr>
                <w:rFonts w:eastAsia="Calibri" w:cs="Times New Roman"/>
                <w:bCs/>
              </w:rPr>
            </w:pPr>
            <w:r w:rsidRPr="00A035D4">
              <w:rPr>
                <w:rFonts w:eastAsia="Calibri" w:cs="Times New Roman"/>
                <w:bCs/>
              </w:rPr>
              <w:t>No or low individual and community risk: A microorganism that is unlikely to cause human or animal disease</w:t>
            </w:r>
          </w:p>
        </w:tc>
      </w:tr>
      <w:tr w:rsidR="00A035D4" w:rsidRPr="0014205E" w14:paraId="46CBCCB8" w14:textId="77777777" w:rsidTr="001A2B42">
        <w:tc>
          <w:tcPr>
            <w:tcW w:w="1610" w:type="dxa"/>
          </w:tcPr>
          <w:p w14:paraId="0FFDBBF7" w14:textId="77777777" w:rsidR="00A035D4" w:rsidRDefault="00A035D4" w:rsidP="0014205E">
            <w:pPr>
              <w:spacing w:after="120"/>
              <w:contextualSpacing/>
              <w:rPr>
                <w:rFonts w:eastAsia="Calibri" w:cs="Times New Roman"/>
                <w:b/>
              </w:rPr>
            </w:pPr>
            <w:r w:rsidRPr="00A035D4">
              <w:rPr>
                <w:rFonts w:eastAsia="Calibri" w:cs="Times New Roman"/>
                <w:b/>
              </w:rPr>
              <w:t>Risk Group 2</w:t>
            </w:r>
          </w:p>
          <w:p w14:paraId="155E7F07" w14:textId="77777777" w:rsidR="00664C7D" w:rsidRPr="00664C7D" w:rsidRDefault="00664C7D" w:rsidP="00664C7D">
            <w:pPr>
              <w:pStyle w:val="ListParagraph"/>
              <w:numPr>
                <w:ilvl w:val="0"/>
                <w:numId w:val="95"/>
              </w:numPr>
              <w:spacing w:after="120"/>
              <w:rPr>
                <w:rFonts w:eastAsia="Calibri" w:cs="Times New Roman"/>
                <w:bCs/>
                <w:i/>
                <w:iCs/>
              </w:rPr>
            </w:pPr>
            <w:r w:rsidRPr="00664C7D">
              <w:rPr>
                <w:rFonts w:eastAsia="Calibri" w:cs="Times New Roman"/>
                <w:bCs/>
                <w:i/>
                <w:iCs/>
              </w:rPr>
              <w:t>Salmonella typhimurium</w:t>
            </w:r>
          </w:p>
          <w:p w14:paraId="653BEE08" w14:textId="57A5A081" w:rsidR="00664C7D" w:rsidRPr="00664C7D" w:rsidRDefault="00664C7D" w:rsidP="00664C7D">
            <w:pPr>
              <w:pStyle w:val="ListParagraph"/>
              <w:numPr>
                <w:ilvl w:val="0"/>
                <w:numId w:val="95"/>
              </w:numPr>
              <w:spacing w:after="120"/>
              <w:rPr>
                <w:rFonts w:eastAsia="Calibri" w:cs="Times New Roman"/>
                <w:bCs/>
                <w:i/>
                <w:iCs/>
              </w:rPr>
            </w:pPr>
            <w:r w:rsidRPr="00664C7D">
              <w:rPr>
                <w:rFonts w:eastAsia="Calibri" w:cs="Times New Roman"/>
                <w:bCs/>
                <w:i/>
                <w:iCs/>
              </w:rPr>
              <w:t>Pseudomonas aeruginosa</w:t>
            </w:r>
          </w:p>
          <w:p w14:paraId="1E30C0CE" w14:textId="6E5A2D79" w:rsidR="00664C7D" w:rsidRPr="00664C7D" w:rsidRDefault="00664C7D" w:rsidP="00664C7D">
            <w:pPr>
              <w:pStyle w:val="ListParagraph"/>
              <w:numPr>
                <w:ilvl w:val="0"/>
                <w:numId w:val="95"/>
              </w:numPr>
              <w:spacing w:after="120"/>
              <w:rPr>
                <w:rFonts w:eastAsia="Calibri" w:cs="Times New Roman"/>
                <w:bCs/>
              </w:rPr>
            </w:pPr>
            <w:r w:rsidRPr="00664C7D">
              <w:rPr>
                <w:rFonts w:eastAsia="Calibri" w:cs="Times New Roman"/>
                <w:bCs/>
              </w:rPr>
              <w:t xml:space="preserve">Pathogenic </w:t>
            </w:r>
            <w:r w:rsidRPr="00664C7D">
              <w:rPr>
                <w:rFonts w:eastAsia="Calibri" w:cs="Times New Roman"/>
                <w:bCs/>
                <w:i/>
                <w:iCs/>
              </w:rPr>
              <w:t>E.</w:t>
            </w:r>
            <w:r w:rsidR="00580E70">
              <w:rPr>
                <w:rFonts w:eastAsia="Calibri" w:cs="Times New Roman"/>
                <w:bCs/>
                <w:i/>
                <w:iCs/>
              </w:rPr>
              <w:t xml:space="preserve"> </w:t>
            </w:r>
            <w:r w:rsidRPr="00664C7D">
              <w:rPr>
                <w:rFonts w:eastAsia="Calibri" w:cs="Times New Roman"/>
                <w:bCs/>
                <w:i/>
                <w:iCs/>
              </w:rPr>
              <w:t>coli</w:t>
            </w:r>
          </w:p>
        </w:tc>
        <w:tc>
          <w:tcPr>
            <w:tcW w:w="3245" w:type="dxa"/>
          </w:tcPr>
          <w:p w14:paraId="4F616FC2" w14:textId="77777777" w:rsidR="00A035D4" w:rsidRPr="00A035D4" w:rsidRDefault="00A035D4" w:rsidP="0014205E">
            <w:pPr>
              <w:spacing w:after="120"/>
              <w:rPr>
                <w:rFonts w:eastAsia="Calibri" w:cs="Times New Roman"/>
                <w:bCs/>
              </w:rPr>
            </w:pPr>
            <w:r w:rsidRPr="00A035D4">
              <w:rPr>
                <w:rFonts w:eastAsia="Calibri" w:cs="Times New Roman"/>
                <w:bCs/>
              </w:rPr>
              <w:t xml:space="preserve">Agents that are associated with human disease which is rarely serious and for which preventive or therapeutic interventions are </w:t>
            </w:r>
            <w:r w:rsidRPr="00A035D4">
              <w:rPr>
                <w:rFonts w:eastAsia="Calibri" w:cs="Times New Roman"/>
                <w:bCs/>
                <w:i/>
                <w:iCs/>
              </w:rPr>
              <w:t>often</w:t>
            </w:r>
            <w:r w:rsidRPr="00A035D4">
              <w:rPr>
                <w:rFonts w:eastAsia="Calibri" w:cs="Times New Roman"/>
                <w:bCs/>
              </w:rPr>
              <w:t xml:space="preserve"> available</w:t>
            </w:r>
          </w:p>
        </w:tc>
        <w:tc>
          <w:tcPr>
            <w:tcW w:w="4590" w:type="dxa"/>
          </w:tcPr>
          <w:p w14:paraId="680945E8" w14:textId="1DD90AED" w:rsidR="0029570E" w:rsidRPr="00A035D4" w:rsidRDefault="00A035D4" w:rsidP="0014205E">
            <w:pPr>
              <w:spacing w:after="120"/>
              <w:rPr>
                <w:rFonts w:eastAsia="Calibri" w:cs="Times New Roman"/>
                <w:bCs/>
              </w:rPr>
            </w:pPr>
            <w:r w:rsidRPr="00A035D4">
              <w:rPr>
                <w:rFonts w:eastAsia="Calibri" w:cs="Times New Roman"/>
                <w:bCs/>
              </w:rPr>
              <w:t xml:space="preserve">Moderate individual risk, low community risk: A pathogen that can cause human or animal disease but is unlikely to be a serious hazard to laboratory personnel, the community, </w:t>
            </w:r>
            <w:r w:rsidR="00B267E9" w:rsidRPr="00A035D4">
              <w:rPr>
                <w:rFonts w:eastAsia="Calibri" w:cs="Times New Roman"/>
                <w:bCs/>
              </w:rPr>
              <w:t>livestock,</w:t>
            </w:r>
            <w:r w:rsidRPr="00A035D4">
              <w:rPr>
                <w:rFonts w:eastAsia="Calibri" w:cs="Times New Roman"/>
                <w:bCs/>
              </w:rPr>
              <w:t xml:space="preserve"> or the environment. Laboratory exposures may cause serious infection, but effective treatment and preventive measures are available and the risk of </w:t>
            </w:r>
            <w:r w:rsidR="0029570E" w:rsidRPr="00A035D4">
              <w:rPr>
                <w:rFonts w:eastAsia="Calibri" w:cs="Times New Roman"/>
                <w:bCs/>
              </w:rPr>
              <w:t>spreading</w:t>
            </w:r>
            <w:r w:rsidRPr="00A035D4">
              <w:rPr>
                <w:rFonts w:eastAsia="Calibri" w:cs="Times New Roman"/>
                <w:bCs/>
              </w:rPr>
              <w:t xml:space="preserve"> infection is limited</w:t>
            </w:r>
          </w:p>
        </w:tc>
      </w:tr>
      <w:tr w:rsidR="00A035D4" w:rsidRPr="0014205E" w14:paraId="75A00EC2" w14:textId="77777777" w:rsidTr="001A2B42">
        <w:tc>
          <w:tcPr>
            <w:tcW w:w="1610" w:type="dxa"/>
          </w:tcPr>
          <w:p w14:paraId="0C68A384" w14:textId="77777777" w:rsidR="00A035D4" w:rsidRDefault="00A035D4" w:rsidP="0014205E">
            <w:pPr>
              <w:spacing w:after="120"/>
              <w:contextualSpacing/>
              <w:rPr>
                <w:rFonts w:eastAsia="Calibri" w:cs="Times New Roman"/>
                <w:b/>
              </w:rPr>
            </w:pPr>
            <w:r w:rsidRPr="00A035D4">
              <w:rPr>
                <w:rFonts w:eastAsia="Calibri" w:cs="Times New Roman"/>
                <w:b/>
              </w:rPr>
              <w:t>Risk Group 3</w:t>
            </w:r>
          </w:p>
          <w:p w14:paraId="6BDB9260" w14:textId="77777777" w:rsidR="00664C7D" w:rsidRPr="00664C7D" w:rsidRDefault="00664C7D" w:rsidP="00664C7D">
            <w:pPr>
              <w:pStyle w:val="ListParagraph"/>
              <w:numPr>
                <w:ilvl w:val="0"/>
                <w:numId w:val="96"/>
              </w:numPr>
              <w:spacing w:after="120"/>
              <w:rPr>
                <w:rFonts w:eastAsia="Calibri" w:cs="Times New Roman"/>
                <w:bCs/>
                <w:i/>
                <w:iCs/>
              </w:rPr>
            </w:pPr>
            <w:r w:rsidRPr="00664C7D">
              <w:rPr>
                <w:rFonts w:eastAsia="Calibri" w:cs="Times New Roman"/>
                <w:bCs/>
                <w:i/>
                <w:iCs/>
              </w:rPr>
              <w:t>Yersinia pestis</w:t>
            </w:r>
          </w:p>
          <w:p w14:paraId="618B4DE8" w14:textId="14DE1289" w:rsidR="00664C7D" w:rsidRPr="00664C7D" w:rsidRDefault="00664C7D" w:rsidP="00664C7D">
            <w:pPr>
              <w:pStyle w:val="ListParagraph"/>
              <w:numPr>
                <w:ilvl w:val="0"/>
                <w:numId w:val="96"/>
              </w:numPr>
              <w:spacing w:after="120"/>
              <w:rPr>
                <w:rFonts w:eastAsia="Calibri" w:cs="Times New Roman"/>
                <w:bCs/>
                <w:i/>
                <w:iCs/>
              </w:rPr>
            </w:pPr>
            <w:r w:rsidRPr="00664C7D">
              <w:rPr>
                <w:rFonts w:eastAsia="Calibri" w:cs="Times New Roman"/>
                <w:bCs/>
                <w:i/>
                <w:iCs/>
              </w:rPr>
              <w:t>Francisella tularensis</w:t>
            </w:r>
          </w:p>
          <w:p w14:paraId="137976DA" w14:textId="27999EAF" w:rsidR="00664C7D" w:rsidRPr="00664C7D" w:rsidRDefault="00664C7D" w:rsidP="00664C7D">
            <w:pPr>
              <w:pStyle w:val="ListParagraph"/>
              <w:numPr>
                <w:ilvl w:val="0"/>
                <w:numId w:val="96"/>
              </w:numPr>
              <w:spacing w:after="120"/>
              <w:rPr>
                <w:rFonts w:eastAsia="Calibri" w:cs="Times New Roman"/>
                <w:bCs/>
              </w:rPr>
            </w:pPr>
            <w:r w:rsidRPr="00664C7D">
              <w:rPr>
                <w:rFonts w:eastAsia="Calibri" w:cs="Times New Roman"/>
                <w:bCs/>
              </w:rPr>
              <w:t>Hantavirus</w:t>
            </w:r>
          </w:p>
        </w:tc>
        <w:tc>
          <w:tcPr>
            <w:tcW w:w="3245" w:type="dxa"/>
          </w:tcPr>
          <w:p w14:paraId="35D15207" w14:textId="77777777" w:rsidR="00A035D4" w:rsidRPr="00A035D4" w:rsidRDefault="00A035D4" w:rsidP="0014205E">
            <w:pPr>
              <w:spacing w:after="120"/>
              <w:rPr>
                <w:rFonts w:eastAsia="Calibri" w:cs="Times New Roman"/>
                <w:bCs/>
              </w:rPr>
            </w:pPr>
            <w:r w:rsidRPr="00A035D4">
              <w:rPr>
                <w:rFonts w:eastAsia="Calibri" w:cs="Times New Roman"/>
                <w:bCs/>
              </w:rPr>
              <w:t>Agents that are associated with serious or lethal human disease for which preventive or therapeutic interventions may be available (high individual risk but low community risk)</w:t>
            </w:r>
          </w:p>
        </w:tc>
        <w:tc>
          <w:tcPr>
            <w:tcW w:w="4590" w:type="dxa"/>
          </w:tcPr>
          <w:p w14:paraId="3A449F4D" w14:textId="46FD21E1" w:rsidR="0029570E" w:rsidRPr="00A035D4" w:rsidRDefault="00A035D4" w:rsidP="0014205E">
            <w:pPr>
              <w:spacing w:after="120"/>
              <w:rPr>
                <w:rFonts w:eastAsia="Calibri" w:cs="Times New Roman"/>
                <w:bCs/>
              </w:rPr>
            </w:pPr>
            <w:r w:rsidRPr="00A035D4">
              <w:rPr>
                <w:rFonts w:eastAsia="Calibri" w:cs="Times New Roman"/>
                <w:bCs/>
              </w:rPr>
              <w:t>High individual risk, low community risk: A pathogen that usually causes serious human or animal disease but does not ordinarily spread from one infected individual to another. Effective treatment and preventive measures are available</w:t>
            </w:r>
          </w:p>
        </w:tc>
      </w:tr>
      <w:tr w:rsidR="00A035D4" w:rsidRPr="0014205E" w14:paraId="4B930ECD" w14:textId="77777777" w:rsidTr="001A2B42">
        <w:tc>
          <w:tcPr>
            <w:tcW w:w="1610" w:type="dxa"/>
          </w:tcPr>
          <w:p w14:paraId="32BCEE1E" w14:textId="77777777" w:rsidR="00A035D4" w:rsidRDefault="00A035D4" w:rsidP="0014205E">
            <w:pPr>
              <w:spacing w:after="120"/>
              <w:contextualSpacing/>
              <w:rPr>
                <w:rFonts w:eastAsia="Calibri" w:cs="Times New Roman"/>
                <w:b/>
              </w:rPr>
            </w:pPr>
            <w:r w:rsidRPr="00A035D4">
              <w:rPr>
                <w:rFonts w:eastAsia="Calibri" w:cs="Times New Roman"/>
                <w:b/>
              </w:rPr>
              <w:t>Risk Group 4</w:t>
            </w:r>
          </w:p>
          <w:p w14:paraId="2E09328F" w14:textId="77777777" w:rsidR="00664C7D" w:rsidRPr="00664C7D" w:rsidRDefault="00664C7D" w:rsidP="00664C7D">
            <w:pPr>
              <w:pStyle w:val="ListParagraph"/>
              <w:numPr>
                <w:ilvl w:val="0"/>
                <w:numId w:val="97"/>
              </w:numPr>
              <w:spacing w:after="120"/>
              <w:rPr>
                <w:rFonts w:eastAsia="Calibri" w:cs="Times New Roman"/>
                <w:bCs/>
              </w:rPr>
            </w:pPr>
            <w:r w:rsidRPr="00664C7D">
              <w:rPr>
                <w:rFonts w:eastAsia="Calibri" w:cs="Times New Roman"/>
                <w:bCs/>
              </w:rPr>
              <w:t>Ebola virus</w:t>
            </w:r>
          </w:p>
          <w:p w14:paraId="31E561D4" w14:textId="138D895C" w:rsidR="00664C7D" w:rsidRPr="00664C7D" w:rsidRDefault="00664C7D" w:rsidP="00664C7D">
            <w:pPr>
              <w:pStyle w:val="ListParagraph"/>
              <w:numPr>
                <w:ilvl w:val="0"/>
                <w:numId w:val="97"/>
              </w:numPr>
              <w:spacing w:after="120"/>
              <w:rPr>
                <w:rFonts w:eastAsia="Calibri" w:cs="Times New Roman"/>
                <w:bCs/>
              </w:rPr>
            </w:pPr>
            <w:r w:rsidRPr="00664C7D">
              <w:rPr>
                <w:rFonts w:eastAsia="Calibri" w:cs="Times New Roman"/>
                <w:bCs/>
              </w:rPr>
              <w:t>Marburg virus</w:t>
            </w:r>
          </w:p>
          <w:p w14:paraId="186314C0" w14:textId="728FD9CF" w:rsidR="00664C7D" w:rsidRPr="00664C7D" w:rsidRDefault="00664C7D" w:rsidP="00664C7D">
            <w:pPr>
              <w:pStyle w:val="ListParagraph"/>
              <w:numPr>
                <w:ilvl w:val="0"/>
                <w:numId w:val="97"/>
              </w:numPr>
              <w:spacing w:after="120"/>
              <w:rPr>
                <w:rFonts w:eastAsia="Calibri" w:cs="Times New Roman"/>
                <w:bCs/>
              </w:rPr>
            </w:pPr>
            <w:r w:rsidRPr="00664C7D">
              <w:rPr>
                <w:rFonts w:eastAsia="Calibri" w:cs="Times New Roman"/>
                <w:bCs/>
              </w:rPr>
              <w:t>Lassa virus</w:t>
            </w:r>
          </w:p>
        </w:tc>
        <w:tc>
          <w:tcPr>
            <w:tcW w:w="3245" w:type="dxa"/>
          </w:tcPr>
          <w:p w14:paraId="2C1FCF5C" w14:textId="77777777" w:rsidR="00A035D4" w:rsidRPr="00A035D4" w:rsidRDefault="00A035D4" w:rsidP="0014205E">
            <w:pPr>
              <w:spacing w:after="120"/>
              <w:rPr>
                <w:rFonts w:eastAsia="Calibri" w:cs="Times New Roman"/>
                <w:b/>
              </w:rPr>
            </w:pPr>
            <w:r w:rsidRPr="00A035D4">
              <w:rPr>
                <w:rFonts w:eastAsia="Calibri" w:cs="Times New Roman"/>
                <w:bCs/>
              </w:rPr>
              <w:t>Agents that are likely to cause serious or lethal human disease for which preventive or therapeutic interventions are not usually available (high individual risk and high community risk)</w:t>
            </w:r>
          </w:p>
        </w:tc>
        <w:tc>
          <w:tcPr>
            <w:tcW w:w="4590" w:type="dxa"/>
          </w:tcPr>
          <w:p w14:paraId="290BC075" w14:textId="37BD7418" w:rsidR="00A035D4" w:rsidRDefault="00A035D4" w:rsidP="0014205E">
            <w:pPr>
              <w:spacing w:after="120"/>
              <w:rPr>
                <w:rFonts w:eastAsia="Calibri" w:cs="Times New Roman"/>
                <w:bCs/>
              </w:rPr>
            </w:pPr>
            <w:r w:rsidRPr="00A035D4">
              <w:rPr>
                <w:rFonts w:eastAsia="Calibri" w:cs="Times New Roman"/>
                <w:bCs/>
              </w:rPr>
              <w:t>High individual and community risk: A pathogen that usually causes serious human or animal disease and that can be readily transmitted from one individual to another, directly or indirectly. Effective treatment and preventive measures are not usually</w:t>
            </w:r>
            <w:r w:rsidR="00C77D2B">
              <w:rPr>
                <w:rFonts w:eastAsia="Calibri" w:cs="Times New Roman"/>
                <w:bCs/>
              </w:rPr>
              <w:t xml:space="preserve"> </w:t>
            </w:r>
            <w:r w:rsidR="00353560">
              <w:rPr>
                <w:rFonts w:eastAsia="Calibri" w:cs="Times New Roman"/>
                <w:bCs/>
              </w:rPr>
              <w:t>a</w:t>
            </w:r>
            <w:r w:rsidR="00353560" w:rsidRPr="00A035D4">
              <w:rPr>
                <w:rFonts w:eastAsia="Calibri" w:cs="Times New Roman"/>
                <w:bCs/>
              </w:rPr>
              <w:t>vailable.</w:t>
            </w:r>
          </w:p>
          <w:p w14:paraId="784A0AF3" w14:textId="77777777" w:rsidR="0029570E" w:rsidRPr="00A035D4" w:rsidRDefault="0029570E" w:rsidP="0014205E">
            <w:pPr>
              <w:spacing w:after="120"/>
              <w:contextualSpacing/>
              <w:rPr>
                <w:rFonts w:eastAsia="Calibri" w:cs="Times New Roman"/>
                <w:bCs/>
              </w:rPr>
            </w:pPr>
          </w:p>
        </w:tc>
      </w:tr>
    </w:tbl>
    <w:p w14:paraId="65E25EE6" w14:textId="77777777" w:rsidR="00A035D4" w:rsidRPr="0014205E" w:rsidRDefault="00A035D4" w:rsidP="0014205E">
      <w:pPr>
        <w:spacing w:after="120"/>
        <w:rPr>
          <w:sz w:val="22"/>
          <w:szCs w:val="22"/>
        </w:rPr>
      </w:pPr>
    </w:p>
    <w:p w14:paraId="5354109E" w14:textId="70482E5A" w:rsidR="00886C31" w:rsidRDefault="00833822">
      <w:pPr>
        <w:rPr>
          <w:b/>
          <w:bCs/>
          <w:sz w:val="28"/>
          <w:szCs w:val="28"/>
        </w:rPr>
      </w:pPr>
      <w:r>
        <w:rPr>
          <w:sz w:val="22"/>
          <w:szCs w:val="22"/>
        </w:rPr>
        <w:t>The American Biological Safety Association (ABSA) maintains a Risk Group Database (</w:t>
      </w:r>
      <w:hyperlink r:id="rId29" w:history="1">
        <w:r w:rsidRPr="00580E70">
          <w:rPr>
            <w:rStyle w:val="Hyperlink"/>
            <w:color w:val="215E99" w:themeColor="text2" w:themeTint="BF"/>
            <w:sz w:val="22"/>
            <w:szCs w:val="22"/>
          </w:rPr>
          <w:t>https://my.absa.org/Riskgroups</w:t>
        </w:r>
      </w:hyperlink>
      <w:r>
        <w:rPr>
          <w:sz w:val="22"/>
          <w:szCs w:val="22"/>
        </w:rPr>
        <w:t xml:space="preserve">). </w:t>
      </w:r>
      <w:r w:rsidRPr="00833822">
        <w:rPr>
          <w:sz w:val="22"/>
          <w:szCs w:val="22"/>
        </w:rPr>
        <w:t xml:space="preserve">The </w:t>
      </w:r>
      <w:r>
        <w:rPr>
          <w:sz w:val="22"/>
          <w:szCs w:val="22"/>
        </w:rPr>
        <w:t>d</w:t>
      </w:r>
      <w:r w:rsidRPr="00833822">
        <w:rPr>
          <w:sz w:val="22"/>
          <w:szCs w:val="22"/>
        </w:rPr>
        <w:t xml:space="preserve">atabase consists of international risk group classifications for </w:t>
      </w:r>
      <w:r>
        <w:rPr>
          <w:sz w:val="22"/>
          <w:szCs w:val="22"/>
        </w:rPr>
        <w:t>b</w:t>
      </w:r>
      <w:r w:rsidRPr="00833822">
        <w:rPr>
          <w:sz w:val="22"/>
          <w:szCs w:val="22"/>
        </w:rPr>
        <w:t xml:space="preserve">acteria, </w:t>
      </w:r>
      <w:r>
        <w:rPr>
          <w:sz w:val="22"/>
          <w:szCs w:val="22"/>
        </w:rPr>
        <w:t>v</w:t>
      </w:r>
      <w:r w:rsidRPr="00833822">
        <w:rPr>
          <w:sz w:val="22"/>
          <w:szCs w:val="22"/>
        </w:rPr>
        <w:t xml:space="preserve">iruses, </w:t>
      </w:r>
      <w:r>
        <w:rPr>
          <w:sz w:val="22"/>
          <w:szCs w:val="22"/>
        </w:rPr>
        <w:t>f</w:t>
      </w:r>
      <w:r w:rsidRPr="00833822">
        <w:rPr>
          <w:sz w:val="22"/>
          <w:szCs w:val="22"/>
        </w:rPr>
        <w:t xml:space="preserve">ungi, and </w:t>
      </w:r>
      <w:r>
        <w:rPr>
          <w:sz w:val="22"/>
          <w:szCs w:val="22"/>
        </w:rPr>
        <w:t>p</w:t>
      </w:r>
      <w:r w:rsidRPr="00833822">
        <w:rPr>
          <w:sz w:val="22"/>
          <w:szCs w:val="22"/>
        </w:rPr>
        <w:t>arasites</w:t>
      </w:r>
      <w:r w:rsidR="00664C7D">
        <w:rPr>
          <w:sz w:val="22"/>
          <w:szCs w:val="22"/>
        </w:rPr>
        <w:t xml:space="preserve"> to aid in risk assessments</w:t>
      </w:r>
      <w:r w:rsidR="00664C7D" w:rsidRPr="00664C7D">
        <w:t xml:space="preserve"> </w:t>
      </w:r>
      <w:r w:rsidR="00664C7D" w:rsidRPr="00664C7D">
        <w:rPr>
          <w:sz w:val="22"/>
          <w:szCs w:val="22"/>
        </w:rPr>
        <w:t>and biosafety level determination</w:t>
      </w:r>
      <w:r w:rsidR="00664C7D">
        <w:rPr>
          <w:sz w:val="22"/>
          <w:szCs w:val="22"/>
        </w:rPr>
        <w:t xml:space="preserve">s. </w:t>
      </w:r>
      <w:r w:rsidR="00886C31">
        <w:rPr>
          <w:b/>
          <w:bCs/>
          <w:sz w:val="28"/>
          <w:szCs w:val="28"/>
        </w:rPr>
        <w:br w:type="page"/>
      </w:r>
    </w:p>
    <w:p w14:paraId="0E66E3CA" w14:textId="042A7A4C" w:rsidR="007C65DA" w:rsidRDefault="007C65DA" w:rsidP="0014205E">
      <w:pPr>
        <w:spacing w:after="120"/>
        <w:rPr>
          <w:b/>
          <w:bCs/>
          <w:sz w:val="28"/>
          <w:szCs w:val="28"/>
        </w:rPr>
      </w:pPr>
      <w:bookmarkStart w:id="14" w:name="S5BiosafetyLaboratoryPractices"/>
      <w:r w:rsidRPr="0014205E">
        <w:rPr>
          <w:b/>
          <w:bCs/>
          <w:sz w:val="28"/>
          <w:szCs w:val="28"/>
        </w:rPr>
        <w:lastRenderedPageBreak/>
        <w:t xml:space="preserve">SECTION </w:t>
      </w:r>
      <w:r w:rsidR="00737D63">
        <w:rPr>
          <w:b/>
          <w:bCs/>
          <w:sz w:val="28"/>
          <w:szCs w:val="28"/>
        </w:rPr>
        <w:t>5</w:t>
      </w:r>
      <w:r w:rsidRPr="0014205E">
        <w:rPr>
          <w:b/>
          <w:bCs/>
          <w:sz w:val="28"/>
          <w:szCs w:val="28"/>
        </w:rPr>
        <w:t>: BIOSAFETY LABORATORY PRACTICES</w:t>
      </w:r>
    </w:p>
    <w:bookmarkEnd w:id="14"/>
    <w:p w14:paraId="4FA0178E" w14:textId="77777777" w:rsidR="00886C31" w:rsidRPr="00737D63" w:rsidRDefault="00886C31" w:rsidP="0014205E">
      <w:pPr>
        <w:spacing w:after="120"/>
        <w:rPr>
          <w:b/>
          <w:bCs/>
          <w:sz w:val="22"/>
          <w:szCs w:val="22"/>
        </w:rPr>
      </w:pPr>
    </w:p>
    <w:p w14:paraId="1C3D7AA7" w14:textId="77777777" w:rsidR="007C65DA" w:rsidRPr="00886C31" w:rsidRDefault="007C65DA" w:rsidP="00886C31">
      <w:pPr>
        <w:spacing w:after="120"/>
        <w:rPr>
          <w:b/>
          <w:bCs/>
          <w:u w:val="single"/>
        </w:rPr>
      </w:pPr>
      <w:bookmarkStart w:id="15" w:name="StandardMicrobiologicalPracties"/>
      <w:r w:rsidRPr="00886C31">
        <w:rPr>
          <w:b/>
          <w:bCs/>
          <w:u w:val="single"/>
        </w:rPr>
        <w:t>Standard Microbiological Practices</w:t>
      </w:r>
    </w:p>
    <w:bookmarkEnd w:id="15"/>
    <w:p w14:paraId="1AE2A0E0" w14:textId="15B6F34F" w:rsidR="00886C31" w:rsidRPr="00886C31" w:rsidRDefault="007C65DA" w:rsidP="00886C31">
      <w:pPr>
        <w:spacing w:after="0" w:line="240" w:lineRule="auto"/>
        <w:rPr>
          <w:rFonts w:ascii="Aptos" w:eastAsia="Calibri" w:hAnsi="Aptos" w:cs="Times New Roman"/>
          <w:bCs/>
          <w:kern w:val="0"/>
          <w:sz w:val="22"/>
          <w:szCs w:val="22"/>
          <w14:ligatures w14:val="none"/>
        </w:rPr>
      </w:pPr>
      <w:r w:rsidRPr="0014205E">
        <w:rPr>
          <w:sz w:val="22"/>
          <w:szCs w:val="22"/>
        </w:rPr>
        <w:t xml:space="preserve">Standard Microbiological Practices (SMPs) are generally defined as the basic “hygiene” practices that apply to all labs, regardless of containment level, </w:t>
      </w:r>
      <w:r w:rsidR="00353560" w:rsidRPr="0014205E">
        <w:rPr>
          <w:sz w:val="22"/>
          <w:szCs w:val="22"/>
        </w:rPr>
        <w:t>which</w:t>
      </w:r>
      <w:r w:rsidRPr="0014205E">
        <w:rPr>
          <w:sz w:val="22"/>
          <w:szCs w:val="22"/>
        </w:rPr>
        <w:t xml:space="preserve"> manipulate microorganisms or any biological materials that contain microorganisms. SMPs serve to minimize the spread of contamination generated through lab processes and to protect both personnel and the environment. The standard microbiological practices listed below apply to all biosafety containment levels.</w:t>
      </w:r>
      <w:r w:rsidR="00886C31">
        <w:rPr>
          <w:sz w:val="22"/>
          <w:szCs w:val="22"/>
        </w:rPr>
        <w:t xml:space="preserve"> </w:t>
      </w:r>
      <w:bookmarkStart w:id="16" w:name="_Hlk182903715"/>
      <w:r w:rsidR="00886C31" w:rsidRPr="00886C31">
        <w:rPr>
          <w:rFonts w:ascii="Aptos" w:eastAsia="Calibri" w:hAnsi="Aptos" w:cs="Times New Roman"/>
          <w:kern w:val="0"/>
          <w:sz w:val="22"/>
          <w:szCs w:val="22"/>
          <w14:ligatures w14:val="none"/>
        </w:rPr>
        <w:t xml:space="preserve">Laboratories under all biosafety levels are required to adhere to the following Standard Microbiological Practices </w:t>
      </w:r>
      <w:r w:rsidR="00886C31" w:rsidRPr="00886C31">
        <w:rPr>
          <w:rFonts w:ascii="Aptos" w:eastAsia="Calibri" w:hAnsi="Aptos" w:cs="Times New Roman"/>
          <w:bCs/>
          <w:kern w:val="0"/>
          <w:sz w:val="22"/>
          <w:szCs w:val="22"/>
          <w14:ligatures w14:val="none"/>
        </w:rPr>
        <w:t>(BMBL 6</w:t>
      </w:r>
      <w:r w:rsidR="00886C31" w:rsidRPr="00886C31">
        <w:rPr>
          <w:rFonts w:ascii="Aptos" w:eastAsia="Calibri" w:hAnsi="Aptos" w:cs="Times New Roman"/>
          <w:bCs/>
          <w:kern w:val="0"/>
          <w:sz w:val="22"/>
          <w:szCs w:val="22"/>
          <w:vertAlign w:val="superscript"/>
          <w14:ligatures w14:val="none"/>
        </w:rPr>
        <w:t>th</w:t>
      </w:r>
      <w:r w:rsidR="00886C31" w:rsidRPr="00886C31">
        <w:rPr>
          <w:rFonts w:ascii="Aptos" w:eastAsia="Calibri" w:hAnsi="Aptos" w:cs="Times New Roman"/>
          <w:bCs/>
          <w:kern w:val="0"/>
          <w:sz w:val="22"/>
          <w:szCs w:val="22"/>
          <w14:ligatures w14:val="none"/>
        </w:rPr>
        <w:t xml:space="preserve"> edition)</w:t>
      </w:r>
      <w:r w:rsidR="00886C31" w:rsidRPr="00886C31">
        <w:rPr>
          <w:rFonts w:ascii="Aptos" w:eastAsia="Calibri" w:hAnsi="Aptos" w:cs="Times New Roman"/>
          <w:kern w:val="0"/>
          <w:sz w:val="22"/>
          <w:szCs w:val="22"/>
          <w14:ligatures w14:val="none"/>
        </w:rPr>
        <w:t>:</w:t>
      </w:r>
    </w:p>
    <w:bookmarkEnd w:id="16"/>
    <w:p w14:paraId="03426CDF"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The Principal Investigator / laboratory supervisor enforces the institutional policies that control safety in and access to the laboratory.</w:t>
      </w:r>
    </w:p>
    <w:p w14:paraId="017EF058"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The Principal Investigator / laboratory supervisor ensures that laboratory personnel receive appropriate training regarding their duties, potential hazards, manipulations of infectious agents, necessary precautions to minimize exposures, and hazard/exposure evaluation procedures (e.g., physical hazards, splashes, aerosolization) and that appropriate records are maintained. Personnel receive annual updates and additional training when equipment, procedures, or policies change. All individuals entering the facility are advised of the potential hazards, are instructed on the appropriate safeguards, and read and follow instructions on practices and procedures. An institutional policy regarding visitor training, occupational health requirements, and safety communication is considered.</w:t>
      </w:r>
    </w:p>
    <w:p w14:paraId="7DD7208E"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Personal health status may affect an individual’s susceptibility to infection and ability to receive available immunizations or prophylactic interventions. Therefore, all personnel, and particularly those of reproductive age and/or those having conditions that may predispose them to increased risk for infection (e.g., organ transplant, medical immunosuppressive agents), are provided information regarding immune competence and susceptibility to infectious agents. Individuals having such conditions are encouraged to self-identify to the institution’s healthcare provider for appropriate counseling and guidance.</w:t>
      </w:r>
    </w:p>
    <w:p w14:paraId="4108D775"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A safety manual specific to the facility is prepared or adopted in consultation with the facility director and appropriate safety professionals. The safety manual is available, accessible, and periodically reviewed and updated, as necessary.</w:t>
      </w:r>
    </w:p>
    <w:p w14:paraId="0B3E69DD" w14:textId="77777777" w:rsidR="00886C31" w:rsidRPr="00886C31" w:rsidRDefault="00886C31" w:rsidP="000A313A">
      <w:pPr>
        <w:numPr>
          <w:ilvl w:val="1"/>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The safety manual contains sufficient information to describe the biosafety and containment procedures for the organisms and biological materials in use, appropriate agent-specific decontamination methods, and the work performed.</w:t>
      </w:r>
    </w:p>
    <w:p w14:paraId="74700C43" w14:textId="77777777" w:rsidR="00886C31" w:rsidRPr="00886C31" w:rsidRDefault="00886C31" w:rsidP="000A313A">
      <w:pPr>
        <w:numPr>
          <w:ilvl w:val="1"/>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The safety manual contains or references protocols for emergency situations, including exposures, medical emergencies, facility malfunctions, and other potential emergencies. Training in emergency response procedures is provided to emergency response personnel and other responsible staff according to institutional policies.</w:t>
      </w:r>
    </w:p>
    <w:p w14:paraId="09936366"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A sign is posted at the entrance to the laboratory when infectious materials are present. Posted information includes: the laboratory’s Biosafety Level, the supervisor’s or other responsible personnel’s name and telephone number, PPE requirements, general occupational health requirements (e.g., immunizations, respiratory protection), and required procedures for entering and exiting the laboratory. Agent information is posted in accordance with the institutional policy.</w:t>
      </w:r>
    </w:p>
    <w:p w14:paraId="7658F9AC"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Long hair is restrained so that it cannot contact hands, specimens, containers, or equipment.</w:t>
      </w:r>
    </w:p>
    <w:p w14:paraId="4E6F2F79"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lastRenderedPageBreak/>
        <w:t>Gloves are worn to protect hands from exposure to hazardous materials.</w:t>
      </w:r>
    </w:p>
    <w:p w14:paraId="1A7D15B1" w14:textId="77777777" w:rsidR="00886C31" w:rsidRPr="00886C31" w:rsidRDefault="00886C31" w:rsidP="000A313A">
      <w:pPr>
        <w:numPr>
          <w:ilvl w:val="1"/>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Glove selection is based on an appropriate risk assessment.</w:t>
      </w:r>
    </w:p>
    <w:p w14:paraId="4BB5EDE2" w14:textId="77777777" w:rsidR="00886C31" w:rsidRPr="00886C31" w:rsidRDefault="00886C31" w:rsidP="000A313A">
      <w:pPr>
        <w:numPr>
          <w:ilvl w:val="1"/>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Gloves are not worn outside the laboratory.</w:t>
      </w:r>
    </w:p>
    <w:p w14:paraId="1D73D4FD" w14:textId="77777777" w:rsidR="00886C31" w:rsidRPr="00886C31" w:rsidRDefault="00886C31" w:rsidP="000A313A">
      <w:pPr>
        <w:numPr>
          <w:ilvl w:val="1"/>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Change gloves when contaminated, glove integrity is compromised, or when otherwise necessary.</w:t>
      </w:r>
    </w:p>
    <w:p w14:paraId="7FBEB83C" w14:textId="77777777" w:rsidR="00886C31" w:rsidRPr="00886C31" w:rsidRDefault="00886C31" w:rsidP="000A313A">
      <w:pPr>
        <w:numPr>
          <w:ilvl w:val="1"/>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Do not wash or reuse disposable gloves and dispose of used gloves with other contaminated laboratory waste.</w:t>
      </w:r>
    </w:p>
    <w:p w14:paraId="52AEDD31"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Gloves and other PPE are removed in a manner that minimizes personal contamination and transfer of infectious materials outside of the areas where infectious materials and/or animals are housed or manipulated.</w:t>
      </w:r>
    </w:p>
    <w:p w14:paraId="19688356"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Individuals wash their hands after working with potentially hazardous materials and before leaving the laboratory.</w:t>
      </w:r>
    </w:p>
    <w:p w14:paraId="5983283F"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Eating, drinking, smoking, handling contact lenses, applying cosmetics, and storing food for human consumption are not permitted in laboratory areas. Food is stored outside the laboratory area.</w:t>
      </w:r>
    </w:p>
    <w:p w14:paraId="17ABE6F6"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Mouth pipetting is prohibited. Mechanical pipetting devices are used.</w:t>
      </w:r>
    </w:p>
    <w:p w14:paraId="38C81853" w14:textId="77777777" w:rsidR="00886C31" w:rsidRPr="00886C31" w:rsidRDefault="00886C31" w:rsidP="000A313A">
      <w:pPr>
        <w:numPr>
          <w:ilvl w:val="0"/>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Policies for the safe handling of sharps, such as needles, scalpels, pipettes, and broken glassware are developed, implemented, and followed; policies are consistent with applicable state, federal, and local requirements. Whenever practical, laboratory supervisors adopt improved engineering and work practice controls that reduce the risk of sharps injuries. Precautions are always taken with sharp items. These include:</w:t>
      </w:r>
    </w:p>
    <w:p w14:paraId="6F5A0164" w14:textId="77777777" w:rsidR="00886C31" w:rsidRPr="00886C31" w:rsidRDefault="00886C31" w:rsidP="000A313A">
      <w:pPr>
        <w:numPr>
          <w:ilvl w:val="1"/>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Plasticware is substituted for glassware whenever possible.</w:t>
      </w:r>
    </w:p>
    <w:p w14:paraId="6AF43FFA" w14:textId="77777777" w:rsidR="00886C31" w:rsidRPr="00886C31" w:rsidRDefault="00886C31" w:rsidP="000A313A">
      <w:pPr>
        <w:numPr>
          <w:ilvl w:val="1"/>
          <w:numId w:val="39"/>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Use of needles and syringes or other sharp instruments is limited in the laboratory and is restricted to situations where there is no alternative (e.g., parenteral injection, blood collection, or aspiration of fluids from laboratory animals or diaphragm bottles). Active or passive needle-based safety devices are to be used whenever possible.</w:t>
      </w:r>
    </w:p>
    <w:p w14:paraId="37475454" w14:textId="77777777" w:rsidR="00886C31" w:rsidRPr="00886C31" w:rsidRDefault="00886C31" w:rsidP="000A313A">
      <w:pPr>
        <w:numPr>
          <w:ilvl w:val="2"/>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Uncapping of needles is performed in such a manner to reduce the potential for recoil causing an accidental needlestick.</w:t>
      </w:r>
    </w:p>
    <w:p w14:paraId="467AF3C1" w14:textId="77777777" w:rsidR="00886C31" w:rsidRPr="00886C31" w:rsidRDefault="00886C31" w:rsidP="000A313A">
      <w:pPr>
        <w:numPr>
          <w:ilvl w:val="2"/>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Needles are not bent, sheared, broken, recapped, removed from disposable syringes, or otherwise manipulated by hand before disposal.</w:t>
      </w:r>
    </w:p>
    <w:p w14:paraId="75E619C3" w14:textId="77777777" w:rsidR="00886C31" w:rsidRPr="00886C31" w:rsidRDefault="00886C31" w:rsidP="000A313A">
      <w:pPr>
        <w:numPr>
          <w:ilvl w:val="2"/>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If absolutely necessary to remove a needle from a syringe (e.g., to prevent lysing blood cells) or recap a needle (e.g., loading syringes in one room and injecting animals in another), a hands-free device or comparable safety procedure must be used (e.g., a needle remover on a sharps container, the use of forceps to hold the cap when recapping a needle).</w:t>
      </w:r>
    </w:p>
    <w:p w14:paraId="17774833" w14:textId="77777777" w:rsidR="00886C31" w:rsidRPr="00886C31" w:rsidRDefault="00886C31" w:rsidP="000A313A">
      <w:pPr>
        <w:numPr>
          <w:ilvl w:val="2"/>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Used, disposable needles and syringes are carefully placed in puncture-resistant containers used for sharps disposal immediately after use. The sharps disposal container is located as close to the point of use as possible.</w:t>
      </w:r>
    </w:p>
    <w:p w14:paraId="561997D4" w14:textId="77777777" w:rsidR="00886C31" w:rsidRPr="00886C31" w:rsidRDefault="00886C31" w:rsidP="000A313A">
      <w:pPr>
        <w:numPr>
          <w:ilvl w:val="1"/>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Non-disposable sharps are placed in a hard-walled container for transport to a processing area for decontamination, preferably by autoclaving.</w:t>
      </w:r>
    </w:p>
    <w:p w14:paraId="2EE28EE9" w14:textId="77777777" w:rsidR="00886C31" w:rsidRPr="00886C31" w:rsidRDefault="00886C31" w:rsidP="000A313A">
      <w:pPr>
        <w:numPr>
          <w:ilvl w:val="1"/>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Broken glassware is not handled directly. Instead, it is removed using a brush and dustpan, tongs, or forceps.</w:t>
      </w:r>
    </w:p>
    <w:p w14:paraId="449153E4" w14:textId="77777777" w:rsidR="00886C31" w:rsidRPr="00886C31" w:rsidRDefault="00886C31" w:rsidP="000A313A">
      <w:pPr>
        <w:numPr>
          <w:ilvl w:val="0"/>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Perform all procedures to minimize the creation of splashes and/or aerosols.</w:t>
      </w:r>
    </w:p>
    <w:p w14:paraId="164C241A" w14:textId="77777777" w:rsidR="00886C31" w:rsidRPr="00886C31" w:rsidRDefault="00886C31" w:rsidP="000A313A">
      <w:pPr>
        <w:numPr>
          <w:ilvl w:val="0"/>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 xml:space="preserve">Decontaminate work surfaces after completion of work and after any spill or splash of potentially infectious material with appropriate disinfectant. Spills involving infectious materials are contained, decontaminated, and cleaned up by staff who are properly trained </w:t>
      </w:r>
      <w:r w:rsidRPr="00886C31">
        <w:rPr>
          <w:rFonts w:ascii="Aptos" w:eastAsia="Calibri" w:hAnsi="Aptos" w:cs="Times New Roman"/>
          <w:kern w:val="0"/>
          <w:sz w:val="22"/>
          <w:szCs w:val="22"/>
          <w14:ligatures w14:val="none"/>
        </w:rPr>
        <w:lastRenderedPageBreak/>
        <w:t>and equipped to work with infectious material. A spill procedure is developed and posted within the laboratory.</w:t>
      </w:r>
    </w:p>
    <w:p w14:paraId="77B49591" w14:textId="77777777" w:rsidR="00886C31" w:rsidRPr="00886C31" w:rsidRDefault="00886C31" w:rsidP="000A313A">
      <w:pPr>
        <w:pStyle w:val="ListParagraph"/>
        <w:numPr>
          <w:ilvl w:val="0"/>
          <w:numId w:val="40"/>
        </w:numPr>
        <w:autoSpaceDE w:val="0"/>
        <w:autoSpaceDN w:val="0"/>
        <w:adjustRightInd w:val="0"/>
        <w:spacing w:after="0" w:line="240" w:lineRule="auto"/>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Decontaminate all cultures, stocks, and other potentially infectious materials before disposal using an effective method, consistent with applicable institutional, local, and state</w:t>
      </w:r>
      <w:r>
        <w:rPr>
          <w:rFonts w:ascii="Aptos" w:eastAsia="Calibri" w:hAnsi="Aptos" w:cs="Times New Roman"/>
          <w:kern w:val="0"/>
          <w:sz w:val="22"/>
          <w:szCs w:val="22"/>
          <w14:ligatures w14:val="none"/>
        </w:rPr>
        <w:t xml:space="preserve"> </w:t>
      </w:r>
      <w:r w:rsidRPr="00886C31">
        <w:rPr>
          <w:rFonts w:ascii="Aptos" w:eastAsia="Calibri" w:hAnsi="Aptos" w:cs="Times New Roman"/>
          <w:kern w:val="0"/>
          <w:sz w:val="22"/>
          <w:szCs w:val="22"/>
          <w14:ligatures w14:val="none"/>
        </w:rPr>
        <w:t>requirements. Depending on where the decontamination will be performed, the following methods are used prior to transport:</w:t>
      </w:r>
    </w:p>
    <w:p w14:paraId="65DAD535" w14:textId="77777777" w:rsidR="00886C31" w:rsidRPr="00886C31" w:rsidRDefault="00886C31" w:rsidP="000A313A">
      <w:pPr>
        <w:numPr>
          <w:ilvl w:val="1"/>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Materials to be decontaminated outside of the immediate laboratory are placed in a durable, leak-proof container and secured for transport. For infectious materials, the outer surface of the container is disinfected prior to moving materials and the transport container has a universal biohazard label.</w:t>
      </w:r>
    </w:p>
    <w:p w14:paraId="17324413" w14:textId="77777777" w:rsidR="00886C31" w:rsidRPr="00886C31" w:rsidRDefault="00886C31" w:rsidP="000A313A">
      <w:pPr>
        <w:numPr>
          <w:ilvl w:val="1"/>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Materials to be removed from the facility for decontamination are packed in accordance with applicable local, state, and federal regulations.</w:t>
      </w:r>
    </w:p>
    <w:p w14:paraId="7E6A3D01" w14:textId="77777777" w:rsidR="00886C31" w:rsidRPr="00886C31" w:rsidRDefault="00886C31" w:rsidP="000A313A">
      <w:pPr>
        <w:numPr>
          <w:ilvl w:val="0"/>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An effective integrated pest management program is implemented.</w:t>
      </w:r>
    </w:p>
    <w:p w14:paraId="4CB340BB" w14:textId="77777777" w:rsidR="00886C31" w:rsidRPr="00886C31" w:rsidRDefault="00886C31" w:rsidP="000A313A">
      <w:pPr>
        <w:numPr>
          <w:ilvl w:val="0"/>
          <w:numId w:val="40"/>
        </w:numPr>
        <w:autoSpaceDE w:val="0"/>
        <w:autoSpaceDN w:val="0"/>
        <w:adjustRightInd w:val="0"/>
        <w:spacing w:after="0" w:line="240" w:lineRule="auto"/>
        <w:contextualSpacing/>
        <w:rPr>
          <w:rFonts w:ascii="Aptos" w:eastAsia="Calibri" w:hAnsi="Aptos" w:cs="Times New Roman"/>
          <w:kern w:val="0"/>
          <w:sz w:val="22"/>
          <w:szCs w:val="22"/>
          <w14:ligatures w14:val="none"/>
        </w:rPr>
      </w:pPr>
      <w:r w:rsidRPr="00886C31">
        <w:rPr>
          <w:rFonts w:ascii="Aptos" w:eastAsia="Calibri" w:hAnsi="Aptos" w:cs="Times New Roman"/>
          <w:kern w:val="0"/>
          <w:sz w:val="22"/>
          <w:szCs w:val="22"/>
          <w14:ligatures w14:val="none"/>
        </w:rPr>
        <w:t>Animals and plants not associated with the work being performed are not permitted in the laboratory.</w:t>
      </w:r>
    </w:p>
    <w:p w14:paraId="07AEDCCD" w14:textId="13C71908" w:rsidR="007C65DA" w:rsidRPr="0014205E" w:rsidRDefault="007C65DA" w:rsidP="00886C31">
      <w:pPr>
        <w:spacing w:after="120"/>
        <w:rPr>
          <w:sz w:val="22"/>
          <w:szCs w:val="22"/>
        </w:rPr>
      </w:pPr>
    </w:p>
    <w:p w14:paraId="6E9E28CD" w14:textId="1EAC27CF" w:rsidR="007C65DA" w:rsidRPr="00886C31" w:rsidRDefault="007C65DA" w:rsidP="0014205E">
      <w:pPr>
        <w:spacing w:after="120"/>
        <w:rPr>
          <w:b/>
          <w:bCs/>
          <w:u w:val="single"/>
        </w:rPr>
      </w:pPr>
      <w:bookmarkStart w:id="17" w:name="BiosafetyLevelsforLabs"/>
      <w:r w:rsidRPr="00886C31">
        <w:rPr>
          <w:b/>
          <w:bCs/>
          <w:u w:val="single"/>
        </w:rPr>
        <w:t>B</w:t>
      </w:r>
      <w:r w:rsidR="000B35E1">
        <w:rPr>
          <w:b/>
          <w:bCs/>
          <w:u w:val="single"/>
        </w:rPr>
        <w:t>iosafety</w:t>
      </w:r>
      <w:r w:rsidRPr="00886C31">
        <w:rPr>
          <w:b/>
          <w:bCs/>
          <w:u w:val="single"/>
        </w:rPr>
        <w:t xml:space="preserve"> L</w:t>
      </w:r>
      <w:r w:rsidR="000B35E1">
        <w:rPr>
          <w:b/>
          <w:bCs/>
          <w:u w:val="single"/>
        </w:rPr>
        <w:t>evels</w:t>
      </w:r>
      <w:r w:rsidRPr="00886C31">
        <w:rPr>
          <w:b/>
          <w:bCs/>
          <w:u w:val="single"/>
        </w:rPr>
        <w:t xml:space="preserve"> (BSL) </w:t>
      </w:r>
      <w:r w:rsidR="000B35E1">
        <w:rPr>
          <w:b/>
          <w:bCs/>
          <w:u w:val="single"/>
        </w:rPr>
        <w:t>for</w:t>
      </w:r>
      <w:r w:rsidRPr="00886C31">
        <w:rPr>
          <w:b/>
          <w:bCs/>
          <w:u w:val="single"/>
        </w:rPr>
        <w:t xml:space="preserve"> L</w:t>
      </w:r>
      <w:r w:rsidR="000B35E1">
        <w:rPr>
          <w:b/>
          <w:bCs/>
          <w:u w:val="single"/>
        </w:rPr>
        <w:t>aboratories</w:t>
      </w:r>
    </w:p>
    <w:bookmarkEnd w:id="17"/>
    <w:p w14:paraId="0919BD7F" w14:textId="634E6629" w:rsidR="007C65DA" w:rsidRDefault="00737D63" w:rsidP="00AE67B9">
      <w:pPr>
        <w:spacing w:after="120" w:line="240" w:lineRule="auto"/>
        <w:rPr>
          <w:sz w:val="22"/>
          <w:szCs w:val="22"/>
        </w:rPr>
      </w:pPr>
      <w:r w:rsidRPr="00AE67B9">
        <w:rPr>
          <w:sz w:val="22"/>
          <w:szCs w:val="22"/>
        </w:rPr>
        <w:t>The cont</w:t>
      </w:r>
      <w:r w:rsidR="00701C7E">
        <w:rPr>
          <w:sz w:val="22"/>
          <w:szCs w:val="22"/>
        </w:rPr>
        <w:t>ai</w:t>
      </w:r>
      <w:r w:rsidRPr="00AE67B9">
        <w:rPr>
          <w:sz w:val="22"/>
          <w:szCs w:val="22"/>
        </w:rPr>
        <w:t>nment</w:t>
      </w:r>
      <w:r w:rsidR="00E22231" w:rsidRPr="00AE67B9">
        <w:rPr>
          <w:sz w:val="22"/>
          <w:szCs w:val="22"/>
        </w:rPr>
        <w:t xml:space="preserve"> of potentially hazardous biological agents is a fundamental objective of any biosafety program. Containment aims to reduce the possibility of agents being released into the environment outside the laboratory, to prevent </w:t>
      </w:r>
      <w:r w:rsidR="00C43930" w:rsidRPr="00AE67B9">
        <w:rPr>
          <w:sz w:val="22"/>
          <w:szCs w:val="22"/>
        </w:rPr>
        <w:t>the transmission</w:t>
      </w:r>
      <w:r w:rsidR="00E22231" w:rsidRPr="00AE67B9">
        <w:rPr>
          <w:sz w:val="22"/>
          <w:szCs w:val="22"/>
        </w:rPr>
        <w:t xml:space="preserve"> of the biological agents being handled in the lab to laboratory personnel exposure, and to protect the biological integrity of the agents in use. Containment is achieved by a combination of good laboratory practices and techniques, proper use of safety equipment and adequate facility design and construction. Four distinct biosafety levels are designed to effectively contain biohazards based on their risk; each biosafety level builds upon the controls of the preceding levels. The CDC HHS guidance document, </w:t>
      </w:r>
      <w:r w:rsidR="00E22231" w:rsidRPr="00AE67B9">
        <w:rPr>
          <w:i/>
          <w:iCs/>
          <w:sz w:val="22"/>
          <w:szCs w:val="22"/>
        </w:rPr>
        <w:t>Biosafety in the Microbiological and Biomedical Laboratories</w:t>
      </w:r>
      <w:r w:rsidR="00E22231" w:rsidRPr="00AE67B9">
        <w:rPr>
          <w:sz w:val="22"/>
          <w:szCs w:val="22"/>
        </w:rPr>
        <w:t>,</w:t>
      </w:r>
      <w:r w:rsidR="0092212B">
        <w:rPr>
          <w:sz w:val="22"/>
          <w:szCs w:val="22"/>
        </w:rPr>
        <w:t xml:space="preserve"> 6</w:t>
      </w:r>
      <w:r w:rsidR="0092212B" w:rsidRPr="0092212B">
        <w:rPr>
          <w:sz w:val="22"/>
          <w:szCs w:val="22"/>
          <w:vertAlign w:val="superscript"/>
        </w:rPr>
        <w:t>th</w:t>
      </w:r>
      <w:r w:rsidR="0092212B">
        <w:rPr>
          <w:sz w:val="22"/>
          <w:szCs w:val="22"/>
        </w:rPr>
        <w:t xml:space="preserve"> Edition,</w:t>
      </w:r>
      <w:r w:rsidR="00E22231" w:rsidRPr="00AE67B9">
        <w:rPr>
          <w:sz w:val="22"/>
          <w:szCs w:val="22"/>
        </w:rPr>
        <w:t xml:space="preserve"> uses the designations BSL-1 through BSL-4 to define the four containment levels.</w:t>
      </w:r>
    </w:p>
    <w:tbl>
      <w:tblPr>
        <w:tblStyle w:val="TableGrid"/>
        <w:tblW w:w="0" w:type="auto"/>
        <w:tblLook w:val="04A0" w:firstRow="1" w:lastRow="0" w:firstColumn="1" w:lastColumn="0" w:noHBand="0" w:noVBand="1"/>
      </w:tblPr>
      <w:tblGrid>
        <w:gridCol w:w="2245"/>
        <w:gridCol w:w="3240"/>
        <w:gridCol w:w="3865"/>
      </w:tblGrid>
      <w:tr w:rsidR="00A35617" w:rsidRPr="00A35617" w14:paraId="6D610751" w14:textId="77777777" w:rsidTr="00B34301">
        <w:trPr>
          <w:tblHeader/>
        </w:trPr>
        <w:tc>
          <w:tcPr>
            <w:tcW w:w="2245" w:type="dxa"/>
            <w:shd w:val="clear" w:color="auto" w:fill="59A56D"/>
            <w:vAlign w:val="center"/>
          </w:tcPr>
          <w:p w14:paraId="684DCCA1" w14:textId="77777777" w:rsidR="00A35617" w:rsidRPr="006F6990" w:rsidRDefault="00A35617" w:rsidP="00B34301">
            <w:pPr>
              <w:spacing w:after="120"/>
              <w:jc w:val="center"/>
              <w:rPr>
                <w:b/>
                <w:bCs/>
                <w:color w:val="FFFFFF" w:themeColor="background1"/>
                <w:sz w:val="22"/>
                <w:szCs w:val="22"/>
              </w:rPr>
            </w:pPr>
            <w:r w:rsidRPr="006F6990">
              <w:rPr>
                <w:b/>
                <w:bCs/>
                <w:color w:val="FFFFFF" w:themeColor="background1"/>
                <w:sz w:val="22"/>
                <w:szCs w:val="22"/>
              </w:rPr>
              <w:t>BIOSAFETY LEVEL</w:t>
            </w:r>
          </w:p>
        </w:tc>
        <w:tc>
          <w:tcPr>
            <w:tcW w:w="3240" w:type="dxa"/>
            <w:shd w:val="clear" w:color="auto" w:fill="59A56D"/>
            <w:vAlign w:val="center"/>
          </w:tcPr>
          <w:p w14:paraId="0BB02671" w14:textId="77777777" w:rsidR="00A35617" w:rsidRPr="006F6990" w:rsidRDefault="00A35617" w:rsidP="00B34301">
            <w:pPr>
              <w:spacing w:after="120"/>
              <w:jc w:val="center"/>
              <w:rPr>
                <w:b/>
                <w:bCs/>
                <w:color w:val="FFFFFF" w:themeColor="background1"/>
                <w:sz w:val="22"/>
                <w:szCs w:val="22"/>
              </w:rPr>
            </w:pPr>
            <w:r w:rsidRPr="006F6990">
              <w:rPr>
                <w:b/>
                <w:bCs/>
                <w:color w:val="FFFFFF" w:themeColor="background1"/>
                <w:sz w:val="22"/>
                <w:szCs w:val="22"/>
              </w:rPr>
              <w:t>FACILITY REQUIREMENTS</w:t>
            </w:r>
          </w:p>
        </w:tc>
        <w:tc>
          <w:tcPr>
            <w:tcW w:w="3865" w:type="dxa"/>
            <w:shd w:val="clear" w:color="auto" w:fill="59A56D"/>
            <w:vAlign w:val="center"/>
          </w:tcPr>
          <w:p w14:paraId="7FBF6A61" w14:textId="77777777" w:rsidR="00A35617" w:rsidRPr="006F6990" w:rsidRDefault="00A35617" w:rsidP="00B34301">
            <w:pPr>
              <w:spacing w:after="120"/>
              <w:jc w:val="center"/>
              <w:rPr>
                <w:b/>
                <w:bCs/>
                <w:color w:val="FFFFFF" w:themeColor="background1"/>
                <w:sz w:val="22"/>
                <w:szCs w:val="22"/>
              </w:rPr>
            </w:pPr>
            <w:r w:rsidRPr="006F6990">
              <w:rPr>
                <w:b/>
                <w:bCs/>
                <w:color w:val="FFFFFF" w:themeColor="background1"/>
                <w:sz w:val="22"/>
                <w:szCs w:val="22"/>
              </w:rPr>
              <w:t>PRACTICES</w:t>
            </w:r>
          </w:p>
        </w:tc>
      </w:tr>
      <w:tr w:rsidR="00A35617" w:rsidRPr="00A35617" w14:paraId="7593EB91" w14:textId="77777777" w:rsidTr="001057AA">
        <w:tc>
          <w:tcPr>
            <w:tcW w:w="2245" w:type="dxa"/>
          </w:tcPr>
          <w:p w14:paraId="3E62A6D6" w14:textId="5C0E6920" w:rsidR="00A35617" w:rsidRPr="00A35617" w:rsidRDefault="00A35617" w:rsidP="001A2B42">
            <w:pPr>
              <w:spacing w:after="120"/>
              <w:rPr>
                <w:b/>
                <w:bCs/>
                <w:sz w:val="22"/>
                <w:szCs w:val="22"/>
              </w:rPr>
            </w:pPr>
            <w:r w:rsidRPr="00A35617">
              <w:rPr>
                <w:b/>
                <w:bCs/>
                <w:sz w:val="22"/>
                <w:szCs w:val="22"/>
              </w:rPr>
              <w:t>BSL-1</w:t>
            </w:r>
          </w:p>
          <w:p w14:paraId="69A735AF" w14:textId="77777777" w:rsidR="00A35617" w:rsidRPr="00A35617" w:rsidRDefault="00A35617" w:rsidP="001A2B42">
            <w:pPr>
              <w:spacing w:after="120"/>
              <w:rPr>
                <w:sz w:val="22"/>
                <w:szCs w:val="22"/>
              </w:rPr>
            </w:pPr>
            <w:r w:rsidRPr="00A35617">
              <w:rPr>
                <w:sz w:val="22"/>
                <w:szCs w:val="22"/>
              </w:rPr>
              <w:t>Agent(s) used: Noninfectious to healthy adults</w:t>
            </w:r>
          </w:p>
        </w:tc>
        <w:tc>
          <w:tcPr>
            <w:tcW w:w="3240" w:type="dxa"/>
          </w:tcPr>
          <w:p w14:paraId="009BC356" w14:textId="72A164CC" w:rsidR="00A35617" w:rsidRDefault="00A35617" w:rsidP="000A313A">
            <w:pPr>
              <w:pStyle w:val="ListParagraph"/>
              <w:numPr>
                <w:ilvl w:val="0"/>
                <w:numId w:val="41"/>
              </w:numPr>
              <w:spacing w:after="120"/>
              <w:rPr>
                <w:sz w:val="22"/>
                <w:szCs w:val="22"/>
              </w:rPr>
            </w:pPr>
            <w:r w:rsidRPr="00A35617">
              <w:rPr>
                <w:sz w:val="22"/>
                <w:szCs w:val="22"/>
              </w:rPr>
              <w:t>Doors for access control</w:t>
            </w:r>
          </w:p>
          <w:p w14:paraId="3881418C" w14:textId="4371D240" w:rsidR="00A35617" w:rsidRPr="00A35617" w:rsidRDefault="00A35617" w:rsidP="000A313A">
            <w:pPr>
              <w:pStyle w:val="ListParagraph"/>
              <w:numPr>
                <w:ilvl w:val="0"/>
                <w:numId w:val="41"/>
              </w:numPr>
              <w:spacing w:after="120"/>
              <w:rPr>
                <w:sz w:val="22"/>
                <w:szCs w:val="22"/>
              </w:rPr>
            </w:pPr>
            <w:r w:rsidRPr="00A35617">
              <w:rPr>
                <w:sz w:val="22"/>
                <w:szCs w:val="22"/>
              </w:rPr>
              <w:t>Designed, constructed, and maintained to facilitate cleaning and housekeeping.</w:t>
            </w:r>
          </w:p>
          <w:p w14:paraId="51BC78F7" w14:textId="0CEF6E63" w:rsidR="00A35617" w:rsidRPr="00A35617" w:rsidRDefault="00A35617" w:rsidP="000A313A">
            <w:pPr>
              <w:pStyle w:val="ListParagraph"/>
              <w:numPr>
                <w:ilvl w:val="0"/>
                <w:numId w:val="41"/>
              </w:numPr>
              <w:spacing w:after="120"/>
              <w:rPr>
                <w:sz w:val="22"/>
                <w:szCs w:val="22"/>
              </w:rPr>
            </w:pPr>
            <w:r w:rsidRPr="00A35617">
              <w:rPr>
                <w:sz w:val="22"/>
                <w:szCs w:val="22"/>
              </w:rPr>
              <w:t xml:space="preserve">Furniture can support anticipated loads and </w:t>
            </w:r>
            <w:r w:rsidR="00353560" w:rsidRPr="00A35617">
              <w:rPr>
                <w:sz w:val="22"/>
                <w:szCs w:val="22"/>
              </w:rPr>
              <w:t>uses.</w:t>
            </w:r>
          </w:p>
          <w:p w14:paraId="46798528" w14:textId="5887A3F4" w:rsidR="00A35617" w:rsidRPr="00A35617" w:rsidRDefault="00A35617" w:rsidP="000A313A">
            <w:pPr>
              <w:pStyle w:val="ListParagraph"/>
              <w:numPr>
                <w:ilvl w:val="0"/>
                <w:numId w:val="41"/>
              </w:numPr>
              <w:spacing w:after="120"/>
              <w:rPr>
                <w:sz w:val="22"/>
                <w:szCs w:val="22"/>
              </w:rPr>
            </w:pPr>
            <w:r w:rsidRPr="00A35617">
              <w:rPr>
                <w:sz w:val="22"/>
                <w:szCs w:val="22"/>
              </w:rPr>
              <w:t xml:space="preserve">Sink </w:t>
            </w:r>
            <w:r w:rsidR="00353560" w:rsidRPr="00A35617">
              <w:rPr>
                <w:sz w:val="22"/>
                <w:szCs w:val="22"/>
              </w:rPr>
              <w:t>is available</w:t>
            </w:r>
            <w:r w:rsidRPr="00A35617">
              <w:rPr>
                <w:sz w:val="22"/>
                <w:szCs w:val="22"/>
              </w:rPr>
              <w:t xml:space="preserve"> for </w:t>
            </w:r>
            <w:r w:rsidR="00353560" w:rsidRPr="00A35617">
              <w:rPr>
                <w:sz w:val="22"/>
                <w:szCs w:val="22"/>
              </w:rPr>
              <w:t>handwashing.</w:t>
            </w:r>
          </w:p>
          <w:p w14:paraId="3EF618D0" w14:textId="77777777" w:rsidR="00A35617" w:rsidRPr="00A35617" w:rsidRDefault="00A35617" w:rsidP="000A313A">
            <w:pPr>
              <w:pStyle w:val="ListParagraph"/>
              <w:numPr>
                <w:ilvl w:val="0"/>
                <w:numId w:val="41"/>
              </w:numPr>
              <w:spacing w:after="120"/>
              <w:rPr>
                <w:sz w:val="22"/>
                <w:szCs w:val="22"/>
              </w:rPr>
            </w:pPr>
            <w:r w:rsidRPr="00A35617">
              <w:rPr>
                <w:sz w:val="22"/>
                <w:szCs w:val="22"/>
              </w:rPr>
              <w:t>Emergency eyewash and shower readily available</w:t>
            </w:r>
          </w:p>
          <w:p w14:paraId="0408953B" w14:textId="7124C528" w:rsidR="00A35617" w:rsidRDefault="0092212B" w:rsidP="000A313A">
            <w:pPr>
              <w:pStyle w:val="ListParagraph"/>
              <w:numPr>
                <w:ilvl w:val="0"/>
                <w:numId w:val="41"/>
              </w:numPr>
              <w:spacing w:after="120"/>
              <w:rPr>
                <w:sz w:val="22"/>
                <w:szCs w:val="22"/>
              </w:rPr>
            </w:pPr>
            <w:r>
              <w:rPr>
                <w:sz w:val="22"/>
                <w:szCs w:val="22"/>
              </w:rPr>
              <w:t>Bio</w:t>
            </w:r>
            <w:r w:rsidR="001057AA" w:rsidRPr="001057AA">
              <w:rPr>
                <w:sz w:val="22"/>
                <w:szCs w:val="22"/>
              </w:rPr>
              <w:t>s</w:t>
            </w:r>
            <w:r>
              <w:rPr>
                <w:sz w:val="22"/>
                <w:szCs w:val="22"/>
              </w:rPr>
              <w:t>afety cabinet</w:t>
            </w:r>
            <w:r w:rsidR="001057AA" w:rsidRPr="001057AA">
              <w:rPr>
                <w:sz w:val="22"/>
                <w:szCs w:val="22"/>
              </w:rPr>
              <w:t xml:space="preserve"> and primary containment systems are installed and operated in a manner to ensure their</w:t>
            </w:r>
            <w:r w:rsidR="001057AA">
              <w:rPr>
                <w:sz w:val="22"/>
                <w:szCs w:val="22"/>
              </w:rPr>
              <w:t xml:space="preserve"> </w:t>
            </w:r>
            <w:r w:rsidR="001057AA" w:rsidRPr="001057AA">
              <w:rPr>
                <w:sz w:val="22"/>
                <w:szCs w:val="22"/>
              </w:rPr>
              <w:t>effectiveness</w:t>
            </w:r>
            <w:r w:rsidR="00A35617" w:rsidRPr="00A35617">
              <w:rPr>
                <w:sz w:val="22"/>
                <w:szCs w:val="22"/>
              </w:rPr>
              <w:t>.</w:t>
            </w:r>
          </w:p>
          <w:p w14:paraId="07BDC1A2" w14:textId="40FC9459" w:rsidR="00737D63" w:rsidRPr="00A35617" w:rsidRDefault="00737D63" w:rsidP="00737D63">
            <w:pPr>
              <w:pStyle w:val="ListParagraph"/>
              <w:spacing w:after="120"/>
              <w:ind w:left="360"/>
              <w:rPr>
                <w:sz w:val="22"/>
                <w:szCs w:val="22"/>
              </w:rPr>
            </w:pPr>
          </w:p>
        </w:tc>
        <w:tc>
          <w:tcPr>
            <w:tcW w:w="3865" w:type="dxa"/>
          </w:tcPr>
          <w:p w14:paraId="15BA05A6" w14:textId="77777777" w:rsidR="00A35617" w:rsidRPr="00A35617" w:rsidRDefault="00A35617" w:rsidP="000A313A">
            <w:pPr>
              <w:pStyle w:val="ListParagraph"/>
              <w:numPr>
                <w:ilvl w:val="0"/>
                <w:numId w:val="41"/>
              </w:numPr>
              <w:spacing w:after="120"/>
              <w:rPr>
                <w:sz w:val="22"/>
                <w:szCs w:val="22"/>
              </w:rPr>
            </w:pPr>
            <w:r w:rsidRPr="00A35617">
              <w:rPr>
                <w:sz w:val="22"/>
                <w:szCs w:val="22"/>
              </w:rPr>
              <w:t>Standard Microbiological Practices</w:t>
            </w:r>
          </w:p>
          <w:p w14:paraId="1C7778B4" w14:textId="77777777" w:rsidR="00A35617" w:rsidRPr="00A35617" w:rsidRDefault="00A35617" w:rsidP="000A313A">
            <w:pPr>
              <w:pStyle w:val="ListParagraph"/>
              <w:numPr>
                <w:ilvl w:val="0"/>
                <w:numId w:val="41"/>
              </w:numPr>
              <w:spacing w:after="120"/>
              <w:rPr>
                <w:sz w:val="22"/>
                <w:szCs w:val="22"/>
              </w:rPr>
            </w:pPr>
            <w:r w:rsidRPr="00A35617">
              <w:rPr>
                <w:sz w:val="22"/>
                <w:szCs w:val="22"/>
              </w:rPr>
              <w:t>All laboratory-related incidents, injuries, illnesses, and near misses are reported to Office of Safety</w:t>
            </w:r>
          </w:p>
          <w:p w14:paraId="2E5E5FF4" w14:textId="0982C117" w:rsidR="00A35617" w:rsidRPr="00A35617" w:rsidRDefault="00A35617" w:rsidP="000A313A">
            <w:pPr>
              <w:pStyle w:val="ListParagraph"/>
              <w:numPr>
                <w:ilvl w:val="0"/>
                <w:numId w:val="41"/>
              </w:numPr>
              <w:spacing w:after="120"/>
              <w:rPr>
                <w:sz w:val="22"/>
                <w:szCs w:val="22"/>
              </w:rPr>
            </w:pPr>
            <w:r w:rsidRPr="00A35617">
              <w:rPr>
                <w:sz w:val="22"/>
                <w:szCs w:val="22"/>
              </w:rPr>
              <w:t xml:space="preserve">PPE </w:t>
            </w:r>
            <w:r>
              <w:rPr>
                <w:sz w:val="22"/>
                <w:szCs w:val="22"/>
              </w:rPr>
              <w:t>includes gloves, lab coat while working, and protective eyewear.</w:t>
            </w:r>
          </w:p>
        </w:tc>
      </w:tr>
      <w:tr w:rsidR="00A35617" w:rsidRPr="00A35617" w14:paraId="35508B31" w14:textId="77777777" w:rsidTr="001057AA">
        <w:tc>
          <w:tcPr>
            <w:tcW w:w="2245" w:type="dxa"/>
          </w:tcPr>
          <w:p w14:paraId="46C10CA7" w14:textId="40A97F85" w:rsidR="00A35617" w:rsidRPr="00A35617" w:rsidRDefault="00A35617" w:rsidP="001A2B42">
            <w:pPr>
              <w:spacing w:after="120"/>
              <w:rPr>
                <w:b/>
                <w:bCs/>
                <w:sz w:val="22"/>
                <w:szCs w:val="22"/>
              </w:rPr>
            </w:pPr>
            <w:r w:rsidRPr="00A35617">
              <w:rPr>
                <w:b/>
                <w:bCs/>
                <w:sz w:val="22"/>
                <w:szCs w:val="22"/>
              </w:rPr>
              <w:lastRenderedPageBreak/>
              <w:t>BSL-2</w:t>
            </w:r>
          </w:p>
          <w:p w14:paraId="770F4558" w14:textId="77777777" w:rsidR="00A35617" w:rsidRPr="00A35617" w:rsidRDefault="00A35617" w:rsidP="001A2B42">
            <w:pPr>
              <w:spacing w:after="120"/>
              <w:rPr>
                <w:sz w:val="22"/>
                <w:szCs w:val="22"/>
              </w:rPr>
            </w:pPr>
            <w:r w:rsidRPr="00A35617">
              <w:rPr>
                <w:sz w:val="22"/>
                <w:szCs w:val="22"/>
              </w:rPr>
              <w:t>Agent(s) used: Infectious spread via blood or oral/fecal transmission Includes human blood, human cell lines, toxins, venom, materials from Nonhuman primates</w:t>
            </w:r>
          </w:p>
        </w:tc>
        <w:tc>
          <w:tcPr>
            <w:tcW w:w="3240" w:type="dxa"/>
          </w:tcPr>
          <w:p w14:paraId="1FE449A4" w14:textId="34D3E9AF" w:rsidR="00A35617" w:rsidRPr="00A35617" w:rsidRDefault="00A35617" w:rsidP="001A2B42">
            <w:pPr>
              <w:spacing w:after="120"/>
              <w:rPr>
                <w:sz w:val="22"/>
                <w:szCs w:val="22"/>
              </w:rPr>
            </w:pPr>
            <w:r w:rsidRPr="00A35617">
              <w:rPr>
                <w:sz w:val="22"/>
                <w:szCs w:val="22"/>
              </w:rPr>
              <w:t xml:space="preserve">All BSL-1 requirements plus the following: </w:t>
            </w:r>
          </w:p>
          <w:p w14:paraId="7624BEBD" w14:textId="18779AC7" w:rsidR="001057AA" w:rsidRPr="001057AA" w:rsidRDefault="001057AA" w:rsidP="000A313A">
            <w:pPr>
              <w:pStyle w:val="ListParagraph"/>
              <w:numPr>
                <w:ilvl w:val="0"/>
                <w:numId w:val="42"/>
              </w:numPr>
              <w:spacing w:after="120"/>
              <w:rPr>
                <w:sz w:val="22"/>
                <w:szCs w:val="22"/>
              </w:rPr>
            </w:pPr>
            <w:r w:rsidRPr="001057AA">
              <w:rPr>
                <w:sz w:val="22"/>
                <w:szCs w:val="22"/>
              </w:rPr>
              <w:t xml:space="preserve">The sink should be located near the exit </w:t>
            </w:r>
            <w:r w:rsidR="00353560" w:rsidRPr="001057AA">
              <w:rPr>
                <w:sz w:val="22"/>
                <w:szCs w:val="22"/>
              </w:rPr>
              <w:t>door.</w:t>
            </w:r>
          </w:p>
          <w:p w14:paraId="40118CE4" w14:textId="35FB1901" w:rsidR="001057AA" w:rsidRPr="001057AA" w:rsidRDefault="001057AA" w:rsidP="000A313A">
            <w:pPr>
              <w:pStyle w:val="ListParagraph"/>
              <w:numPr>
                <w:ilvl w:val="0"/>
                <w:numId w:val="42"/>
              </w:numPr>
              <w:spacing w:after="120"/>
              <w:rPr>
                <w:sz w:val="22"/>
                <w:szCs w:val="22"/>
              </w:rPr>
            </w:pPr>
            <w:r w:rsidRPr="001057AA">
              <w:rPr>
                <w:sz w:val="22"/>
                <w:szCs w:val="22"/>
              </w:rPr>
              <w:t xml:space="preserve">Door(s) should be self-closing and </w:t>
            </w:r>
            <w:r w:rsidR="00353560" w:rsidRPr="001057AA">
              <w:rPr>
                <w:sz w:val="22"/>
                <w:szCs w:val="22"/>
              </w:rPr>
              <w:t>lockable.</w:t>
            </w:r>
          </w:p>
          <w:p w14:paraId="7C56ED40" w14:textId="2BA9D0EB" w:rsidR="001057AA" w:rsidRPr="001057AA" w:rsidRDefault="001057AA" w:rsidP="000A313A">
            <w:pPr>
              <w:pStyle w:val="ListParagraph"/>
              <w:numPr>
                <w:ilvl w:val="0"/>
                <w:numId w:val="42"/>
              </w:numPr>
              <w:spacing w:after="120"/>
              <w:rPr>
                <w:sz w:val="22"/>
                <w:szCs w:val="22"/>
              </w:rPr>
            </w:pPr>
            <w:r w:rsidRPr="001057AA">
              <w:rPr>
                <w:sz w:val="22"/>
                <w:szCs w:val="22"/>
              </w:rPr>
              <w:t xml:space="preserve">Vacuum lines </w:t>
            </w:r>
            <w:r w:rsidR="00353560" w:rsidRPr="001057AA">
              <w:rPr>
                <w:sz w:val="22"/>
                <w:szCs w:val="22"/>
              </w:rPr>
              <w:t>protected.</w:t>
            </w:r>
          </w:p>
          <w:p w14:paraId="7E7098BE" w14:textId="4ECACC4F" w:rsidR="001057AA" w:rsidRPr="001057AA" w:rsidRDefault="001057AA" w:rsidP="000A313A">
            <w:pPr>
              <w:pStyle w:val="ListParagraph"/>
              <w:numPr>
                <w:ilvl w:val="0"/>
                <w:numId w:val="42"/>
              </w:numPr>
              <w:spacing w:after="120"/>
              <w:rPr>
                <w:sz w:val="22"/>
                <w:szCs w:val="22"/>
              </w:rPr>
            </w:pPr>
            <w:r w:rsidRPr="001057AA">
              <w:rPr>
                <w:sz w:val="22"/>
                <w:szCs w:val="22"/>
              </w:rPr>
              <w:t xml:space="preserve">Autoclave available or approved alternative decontamination </w:t>
            </w:r>
            <w:r w:rsidR="00353560" w:rsidRPr="001057AA">
              <w:rPr>
                <w:sz w:val="22"/>
                <w:szCs w:val="22"/>
              </w:rPr>
              <w:t>method.</w:t>
            </w:r>
          </w:p>
          <w:p w14:paraId="48654851" w14:textId="2D643151" w:rsidR="00A35617" w:rsidRPr="001057AA" w:rsidRDefault="001057AA" w:rsidP="000A313A">
            <w:pPr>
              <w:pStyle w:val="ListParagraph"/>
              <w:numPr>
                <w:ilvl w:val="0"/>
                <w:numId w:val="42"/>
              </w:numPr>
              <w:spacing w:after="120"/>
              <w:rPr>
                <w:sz w:val="22"/>
                <w:szCs w:val="22"/>
              </w:rPr>
            </w:pPr>
            <w:r w:rsidRPr="001057AA">
              <w:rPr>
                <w:sz w:val="22"/>
                <w:szCs w:val="22"/>
              </w:rPr>
              <w:t>Laboratories should be under</w:t>
            </w:r>
            <w:r>
              <w:rPr>
                <w:sz w:val="22"/>
                <w:szCs w:val="22"/>
              </w:rPr>
              <w:t xml:space="preserve"> </w:t>
            </w:r>
            <w:r w:rsidRPr="001057AA">
              <w:rPr>
                <w:sz w:val="22"/>
                <w:szCs w:val="22"/>
              </w:rPr>
              <w:t>negative pressure or must be</w:t>
            </w:r>
            <w:r>
              <w:rPr>
                <w:sz w:val="22"/>
                <w:szCs w:val="22"/>
              </w:rPr>
              <w:t xml:space="preserve"> </w:t>
            </w:r>
            <w:r w:rsidRPr="001057AA">
              <w:rPr>
                <w:sz w:val="22"/>
                <w:szCs w:val="22"/>
              </w:rPr>
              <w:t xml:space="preserve">neutral pressure </w:t>
            </w:r>
          </w:p>
        </w:tc>
        <w:tc>
          <w:tcPr>
            <w:tcW w:w="3865" w:type="dxa"/>
          </w:tcPr>
          <w:p w14:paraId="7094232A" w14:textId="40B89FC3" w:rsidR="00A35617" w:rsidRPr="00A35617" w:rsidRDefault="00A35617" w:rsidP="001A2B42">
            <w:pPr>
              <w:spacing w:after="120"/>
              <w:rPr>
                <w:sz w:val="22"/>
                <w:szCs w:val="22"/>
              </w:rPr>
            </w:pPr>
            <w:r w:rsidRPr="00A35617">
              <w:rPr>
                <w:sz w:val="22"/>
                <w:szCs w:val="22"/>
              </w:rPr>
              <w:t>All BSL-1 requirements plus the following:</w:t>
            </w:r>
          </w:p>
          <w:p w14:paraId="5995E3E8" w14:textId="77777777" w:rsidR="001057AA" w:rsidRDefault="001057AA" w:rsidP="000A313A">
            <w:pPr>
              <w:pStyle w:val="ListParagraph"/>
              <w:numPr>
                <w:ilvl w:val="0"/>
                <w:numId w:val="43"/>
              </w:numPr>
              <w:spacing w:after="120"/>
              <w:rPr>
                <w:sz w:val="22"/>
                <w:szCs w:val="22"/>
              </w:rPr>
            </w:pPr>
            <w:r w:rsidRPr="001057AA">
              <w:rPr>
                <w:sz w:val="22"/>
                <w:szCs w:val="22"/>
              </w:rPr>
              <w:t>Special Practice</w:t>
            </w:r>
            <w:r>
              <w:rPr>
                <w:sz w:val="22"/>
                <w:szCs w:val="22"/>
              </w:rPr>
              <w:t>s:</w:t>
            </w:r>
          </w:p>
          <w:p w14:paraId="423B0C88" w14:textId="41B1B5BD" w:rsidR="001057AA" w:rsidRPr="001057AA" w:rsidRDefault="001057AA" w:rsidP="000A313A">
            <w:pPr>
              <w:pStyle w:val="ListParagraph"/>
              <w:numPr>
                <w:ilvl w:val="0"/>
                <w:numId w:val="44"/>
              </w:numPr>
              <w:spacing w:after="120"/>
              <w:rPr>
                <w:sz w:val="22"/>
                <w:szCs w:val="22"/>
              </w:rPr>
            </w:pPr>
            <w:r w:rsidRPr="001057AA">
              <w:rPr>
                <w:sz w:val="22"/>
                <w:szCs w:val="22"/>
              </w:rPr>
              <w:t xml:space="preserve"> Controlled access</w:t>
            </w:r>
          </w:p>
          <w:p w14:paraId="5F0DC950" w14:textId="2DBE4869" w:rsidR="001057AA" w:rsidRPr="001057AA" w:rsidRDefault="001057AA" w:rsidP="000A313A">
            <w:pPr>
              <w:pStyle w:val="ListParagraph"/>
              <w:numPr>
                <w:ilvl w:val="0"/>
                <w:numId w:val="44"/>
              </w:numPr>
              <w:spacing w:after="120"/>
              <w:rPr>
                <w:sz w:val="22"/>
                <w:szCs w:val="22"/>
              </w:rPr>
            </w:pPr>
            <w:r w:rsidRPr="001057AA">
              <w:rPr>
                <w:sz w:val="22"/>
                <w:szCs w:val="22"/>
              </w:rPr>
              <w:t>Personnel demonstrate</w:t>
            </w:r>
            <w:r>
              <w:rPr>
                <w:sz w:val="22"/>
                <w:szCs w:val="22"/>
              </w:rPr>
              <w:t xml:space="preserve"> </w:t>
            </w:r>
            <w:r w:rsidRPr="001057AA">
              <w:rPr>
                <w:sz w:val="22"/>
                <w:szCs w:val="22"/>
              </w:rPr>
              <w:t>proficiency in SMPs &amp;</w:t>
            </w:r>
            <w:r>
              <w:rPr>
                <w:sz w:val="22"/>
                <w:szCs w:val="22"/>
              </w:rPr>
              <w:t xml:space="preserve"> </w:t>
            </w:r>
            <w:r w:rsidR="00353560" w:rsidRPr="001057AA">
              <w:rPr>
                <w:sz w:val="22"/>
                <w:szCs w:val="22"/>
              </w:rPr>
              <w:t>techniques.</w:t>
            </w:r>
          </w:p>
          <w:p w14:paraId="77C021F0" w14:textId="4EA8B4B2" w:rsidR="001057AA" w:rsidRPr="001057AA" w:rsidRDefault="001057AA" w:rsidP="000A313A">
            <w:pPr>
              <w:pStyle w:val="ListParagraph"/>
              <w:numPr>
                <w:ilvl w:val="0"/>
                <w:numId w:val="44"/>
              </w:numPr>
              <w:spacing w:after="120"/>
              <w:rPr>
                <w:sz w:val="22"/>
                <w:szCs w:val="22"/>
              </w:rPr>
            </w:pPr>
            <w:r w:rsidRPr="001057AA">
              <w:rPr>
                <w:sz w:val="22"/>
                <w:szCs w:val="22"/>
              </w:rPr>
              <w:t>Medical surveillance as</w:t>
            </w:r>
            <w:r>
              <w:rPr>
                <w:sz w:val="22"/>
                <w:szCs w:val="22"/>
              </w:rPr>
              <w:t xml:space="preserve"> </w:t>
            </w:r>
            <w:r w:rsidRPr="001057AA">
              <w:rPr>
                <w:sz w:val="22"/>
                <w:szCs w:val="22"/>
              </w:rPr>
              <w:t>appropriate and offered</w:t>
            </w:r>
            <w:r>
              <w:rPr>
                <w:sz w:val="22"/>
                <w:szCs w:val="22"/>
              </w:rPr>
              <w:t xml:space="preserve"> </w:t>
            </w:r>
            <w:r w:rsidRPr="001057AA">
              <w:rPr>
                <w:sz w:val="22"/>
                <w:szCs w:val="22"/>
              </w:rPr>
              <w:t xml:space="preserve">available </w:t>
            </w:r>
            <w:r w:rsidR="00353560" w:rsidRPr="001057AA">
              <w:rPr>
                <w:sz w:val="22"/>
                <w:szCs w:val="22"/>
              </w:rPr>
              <w:t>immunizations.</w:t>
            </w:r>
          </w:p>
          <w:p w14:paraId="14AB6E02" w14:textId="1E959D48" w:rsidR="001057AA" w:rsidRDefault="001057AA" w:rsidP="000A313A">
            <w:pPr>
              <w:pStyle w:val="ListParagraph"/>
              <w:numPr>
                <w:ilvl w:val="0"/>
                <w:numId w:val="44"/>
              </w:numPr>
              <w:spacing w:after="120"/>
              <w:rPr>
                <w:sz w:val="22"/>
                <w:szCs w:val="22"/>
              </w:rPr>
            </w:pPr>
            <w:r w:rsidRPr="001057AA">
              <w:rPr>
                <w:sz w:val="22"/>
                <w:szCs w:val="22"/>
              </w:rPr>
              <w:t>Biosafety cabinet or other</w:t>
            </w:r>
            <w:r>
              <w:rPr>
                <w:sz w:val="22"/>
                <w:szCs w:val="22"/>
              </w:rPr>
              <w:t xml:space="preserve"> </w:t>
            </w:r>
            <w:r w:rsidRPr="001057AA">
              <w:rPr>
                <w:sz w:val="22"/>
                <w:szCs w:val="22"/>
              </w:rPr>
              <w:t xml:space="preserve">containment </w:t>
            </w:r>
            <w:r w:rsidR="00353560" w:rsidRPr="001057AA">
              <w:rPr>
                <w:sz w:val="22"/>
                <w:szCs w:val="22"/>
              </w:rPr>
              <w:t>devices</w:t>
            </w:r>
            <w:r w:rsidRPr="001057AA">
              <w:rPr>
                <w:sz w:val="22"/>
                <w:szCs w:val="22"/>
              </w:rPr>
              <w:t xml:space="preserve"> used for</w:t>
            </w:r>
            <w:r>
              <w:rPr>
                <w:sz w:val="22"/>
                <w:szCs w:val="22"/>
              </w:rPr>
              <w:t xml:space="preserve"> </w:t>
            </w:r>
            <w:r w:rsidRPr="001057AA">
              <w:rPr>
                <w:sz w:val="22"/>
                <w:szCs w:val="22"/>
              </w:rPr>
              <w:t>aerosol generating</w:t>
            </w:r>
            <w:r>
              <w:rPr>
                <w:sz w:val="22"/>
                <w:szCs w:val="22"/>
              </w:rPr>
              <w:t xml:space="preserve"> </w:t>
            </w:r>
            <w:r w:rsidR="00353560" w:rsidRPr="001057AA">
              <w:rPr>
                <w:sz w:val="22"/>
                <w:szCs w:val="22"/>
              </w:rPr>
              <w:t>procedures.</w:t>
            </w:r>
          </w:p>
          <w:p w14:paraId="643D81AD" w14:textId="270F12F4" w:rsidR="001057AA" w:rsidRDefault="001057AA" w:rsidP="000A313A">
            <w:pPr>
              <w:pStyle w:val="ListParagraph"/>
              <w:numPr>
                <w:ilvl w:val="0"/>
                <w:numId w:val="44"/>
              </w:numPr>
              <w:spacing w:after="120"/>
              <w:rPr>
                <w:sz w:val="22"/>
                <w:szCs w:val="22"/>
              </w:rPr>
            </w:pPr>
            <w:r w:rsidRPr="001057AA">
              <w:rPr>
                <w:sz w:val="22"/>
                <w:szCs w:val="22"/>
              </w:rPr>
              <w:t>Lab equipment is routinely</w:t>
            </w:r>
            <w:r>
              <w:rPr>
                <w:sz w:val="22"/>
                <w:szCs w:val="22"/>
              </w:rPr>
              <w:t xml:space="preserve"> </w:t>
            </w:r>
            <w:r w:rsidR="00353560" w:rsidRPr="001057AA">
              <w:rPr>
                <w:sz w:val="22"/>
                <w:szCs w:val="22"/>
              </w:rPr>
              <w:t>decontaminated.</w:t>
            </w:r>
          </w:p>
          <w:p w14:paraId="76AD6C1D" w14:textId="7F79269D" w:rsidR="001057AA" w:rsidRPr="001057AA" w:rsidRDefault="001057AA" w:rsidP="000A313A">
            <w:pPr>
              <w:pStyle w:val="ListParagraph"/>
              <w:numPr>
                <w:ilvl w:val="0"/>
                <w:numId w:val="44"/>
              </w:numPr>
              <w:spacing w:after="120"/>
              <w:rPr>
                <w:sz w:val="22"/>
                <w:szCs w:val="22"/>
              </w:rPr>
            </w:pPr>
            <w:r w:rsidRPr="001057AA">
              <w:rPr>
                <w:sz w:val="22"/>
                <w:szCs w:val="22"/>
              </w:rPr>
              <w:t>Method of decontamination</w:t>
            </w:r>
            <w:r>
              <w:rPr>
                <w:sz w:val="22"/>
                <w:szCs w:val="22"/>
              </w:rPr>
              <w:t xml:space="preserve"> </w:t>
            </w:r>
            <w:r w:rsidRPr="001057AA">
              <w:rPr>
                <w:sz w:val="22"/>
                <w:szCs w:val="22"/>
              </w:rPr>
              <w:t>for lab waste</w:t>
            </w:r>
          </w:p>
          <w:p w14:paraId="7619878C" w14:textId="102E5EA6" w:rsidR="001057AA" w:rsidRPr="001057AA" w:rsidRDefault="001057AA" w:rsidP="000A313A">
            <w:pPr>
              <w:pStyle w:val="ListParagraph"/>
              <w:numPr>
                <w:ilvl w:val="0"/>
                <w:numId w:val="43"/>
              </w:numPr>
              <w:spacing w:after="120"/>
              <w:rPr>
                <w:sz w:val="22"/>
                <w:szCs w:val="22"/>
              </w:rPr>
            </w:pPr>
            <w:r w:rsidRPr="001057AA">
              <w:rPr>
                <w:sz w:val="22"/>
                <w:szCs w:val="22"/>
              </w:rPr>
              <w:t>Personal Protective Equipment</w:t>
            </w:r>
          </w:p>
          <w:p w14:paraId="672D7126" w14:textId="6C11E6AA" w:rsidR="001057AA" w:rsidRPr="001057AA" w:rsidRDefault="001057AA" w:rsidP="000A313A">
            <w:pPr>
              <w:pStyle w:val="ListParagraph"/>
              <w:numPr>
                <w:ilvl w:val="0"/>
                <w:numId w:val="45"/>
              </w:numPr>
              <w:spacing w:after="120"/>
              <w:rPr>
                <w:sz w:val="22"/>
                <w:szCs w:val="22"/>
              </w:rPr>
            </w:pPr>
            <w:r w:rsidRPr="001057AA">
              <w:rPr>
                <w:sz w:val="22"/>
                <w:szCs w:val="22"/>
              </w:rPr>
              <w:t>Face protection for splashes</w:t>
            </w:r>
            <w:r>
              <w:rPr>
                <w:sz w:val="22"/>
                <w:szCs w:val="22"/>
              </w:rPr>
              <w:t xml:space="preserve"> </w:t>
            </w:r>
            <w:r w:rsidRPr="001057AA">
              <w:rPr>
                <w:sz w:val="22"/>
                <w:szCs w:val="22"/>
              </w:rPr>
              <w:t>when working outside of a</w:t>
            </w:r>
            <w:r>
              <w:rPr>
                <w:sz w:val="22"/>
                <w:szCs w:val="22"/>
              </w:rPr>
              <w:t xml:space="preserve"> </w:t>
            </w:r>
            <w:r w:rsidRPr="001057AA">
              <w:rPr>
                <w:sz w:val="22"/>
                <w:szCs w:val="22"/>
              </w:rPr>
              <w:t>biosafety cabinet or</w:t>
            </w:r>
            <w:r>
              <w:rPr>
                <w:sz w:val="22"/>
                <w:szCs w:val="22"/>
              </w:rPr>
              <w:t xml:space="preserve"> </w:t>
            </w:r>
            <w:r w:rsidRPr="001057AA">
              <w:rPr>
                <w:sz w:val="22"/>
                <w:szCs w:val="22"/>
              </w:rPr>
              <w:t xml:space="preserve">containment </w:t>
            </w:r>
            <w:r w:rsidR="00353560" w:rsidRPr="001057AA">
              <w:rPr>
                <w:sz w:val="22"/>
                <w:szCs w:val="22"/>
              </w:rPr>
              <w:t>device.</w:t>
            </w:r>
          </w:p>
          <w:p w14:paraId="2F2EE694" w14:textId="564241DF" w:rsidR="00A35617" w:rsidRPr="001057AA" w:rsidRDefault="001057AA" w:rsidP="000A313A">
            <w:pPr>
              <w:pStyle w:val="ListParagraph"/>
              <w:numPr>
                <w:ilvl w:val="0"/>
                <w:numId w:val="45"/>
              </w:numPr>
              <w:spacing w:after="120"/>
              <w:rPr>
                <w:sz w:val="22"/>
                <w:szCs w:val="22"/>
              </w:rPr>
            </w:pPr>
            <w:r w:rsidRPr="001057AA">
              <w:rPr>
                <w:sz w:val="22"/>
                <w:szCs w:val="22"/>
              </w:rPr>
              <w:t>Risk assessment considers</w:t>
            </w:r>
            <w:r>
              <w:rPr>
                <w:sz w:val="22"/>
                <w:szCs w:val="22"/>
              </w:rPr>
              <w:t xml:space="preserve"> </w:t>
            </w:r>
            <w:r w:rsidRPr="001057AA">
              <w:rPr>
                <w:sz w:val="22"/>
                <w:szCs w:val="22"/>
              </w:rPr>
              <w:t>respiratory protection.</w:t>
            </w:r>
          </w:p>
        </w:tc>
      </w:tr>
      <w:tr w:rsidR="00E81B2C" w:rsidRPr="00A35617" w14:paraId="0EFB0B35" w14:textId="77777777" w:rsidTr="00D06B33">
        <w:trPr>
          <w:trHeight w:val="2798"/>
        </w:trPr>
        <w:tc>
          <w:tcPr>
            <w:tcW w:w="2245" w:type="dxa"/>
            <w:vMerge w:val="restart"/>
          </w:tcPr>
          <w:p w14:paraId="6DF89EF4" w14:textId="14C41014" w:rsidR="00E81B2C" w:rsidRPr="00A35617" w:rsidRDefault="00E81B2C" w:rsidP="001A2B42">
            <w:pPr>
              <w:spacing w:after="120"/>
              <w:rPr>
                <w:b/>
                <w:bCs/>
                <w:sz w:val="22"/>
                <w:szCs w:val="22"/>
              </w:rPr>
            </w:pPr>
            <w:r w:rsidRPr="00A35617">
              <w:rPr>
                <w:b/>
                <w:bCs/>
                <w:sz w:val="22"/>
                <w:szCs w:val="22"/>
              </w:rPr>
              <w:t>BSL-3</w:t>
            </w:r>
          </w:p>
          <w:p w14:paraId="75F6F3C5" w14:textId="77777777" w:rsidR="00E81B2C" w:rsidRPr="00A35617" w:rsidRDefault="00E81B2C" w:rsidP="001A2B42">
            <w:pPr>
              <w:spacing w:after="120"/>
              <w:rPr>
                <w:sz w:val="22"/>
                <w:szCs w:val="22"/>
              </w:rPr>
            </w:pPr>
            <w:r w:rsidRPr="00A35617">
              <w:rPr>
                <w:sz w:val="22"/>
                <w:szCs w:val="22"/>
              </w:rPr>
              <w:t>Agent(s) used: Infectious spread via aerosol transmission</w:t>
            </w:r>
          </w:p>
        </w:tc>
        <w:tc>
          <w:tcPr>
            <w:tcW w:w="3240" w:type="dxa"/>
          </w:tcPr>
          <w:p w14:paraId="1DF2B398" w14:textId="19AB1A7A" w:rsidR="00E81B2C" w:rsidRPr="00A35617" w:rsidRDefault="00E81B2C" w:rsidP="001A2B42">
            <w:pPr>
              <w:spacing w:after="120"/>
              <w:rPr>
                <w:sz w:val="22"/>
                <w:szCs w:val="22"/>
              </w:rPr>
            </w:pPr>
            <w:r w:rsidRPr="00A35617">
              <w:rPr>
                <w:sz w:val="22"/>
                <w:szCs w:val="22"/>
              </w:rPr>
              <w:t>All BSL-1 and BSL-2 requirements plus the following:</w:t>
            </w:r>
          </w:p>
          <w:p w14:paraId="02E09EC5" w14:textId="58516DF5" w:rsidR="00E81B2C" w:rsidRPr="001057AA" w:rsidRDefault="00E81B2C" w:rsidP="000A313A">
            <w:pPr>
              <w:pStyle w:val="ListParagraph"/>
              <w:numPr>
                <w:ilvl w:val="0"/>
                <w:numId w:val="43"/>
              </w:numPr>
              <w:spacing w:after="120"/>
              <w:rPr>
                <w:sz w:val="22"/>
                <w:szCs w:val="22"/>
              </w:rPr>
            </w:pPr>
            <w:r w:rsidRPr="001057AA">
              <w:rPr>
                <w:sz w:val="22"/>
                <w:szCs w:val="22"/>
              </w:rPr>
              <w:t>Double door entry</w:t>
            </w:r>
          </w:p>
          <w:p w14:paraId="7E37A927" w14:textId="1A3A908A" w:rsidR="00E81B2C" w:rsidRPr="001057AA" w:rsidRDefault="00E81B2C" w:rsidP="000A313A">
            <w:pPr>
              <w:pStyle w:val="ListParagraph"/>
              <w:numPr>
                <w:ilvl w:val="0"/>
                <w:numId w:val="43"/>
              </w:numPr>
              <w:spacing w:after="120"/>
              <w:rPr>
                <w:sz w:val="22"/>
                <w:szCs w:val="22"/>
              </w:rPr>
            </w:pPr>
            <w:r w:rsidRPr="001057AA">
              <w:rPr>
                <w:sz w:val="22"/>
                <w:szCs w:val="22"/>
              </w:rPr>
              <w:t>Negative air flow</w:t>
            </w:r>
          </w:p>
          <w:p w14:paraId="38614936" w14:textId="635FD728" w:rsidR="00E81B2C" w:rsidRPr="001057AA" w:rsidRDefault="00E81B2C" w:rsidP="000A313A">
            <w:pPr>
              <w:pStyle w:val="ListParagraph"/>
              <w:numPr>
                <w:ilvl w:val="0"/>
                <w:numId w:val="43"/>
              </w:numPr>
              <w:spacing w:after="120"/>
              <w:rPr>
                <w:sz w:val="22"/>
                <w:szCs w:val="22"/>
              </w:rPr>
            </w:pPr>
            <w:r w:rsidRPr="001057AA">
              <w:rPr>
                <w:sz w:val="22"/>
                <w:szCs w:val="22"/>
              </w:rPr>
              <w:t>Biosafety cabinet(s)</w:t>
            </w:r>
          </w:p>
          <w:p w14:paraId="1D899D6C" w14:textId="1FDA3D02" w:rsidR="00E81B2C" w:rsidRDefault="00E81B2C" w:rsidP="000A313A">
            <w:pPr>
              <w:pStyle w:val="ListParagraph"/>
              <w:numPr>
                <w:ilvl w:val="0"/>
                <w:numId w:val="43"/>
              </w:numPr>
              <w:spacing w:after="120"/>
              <w:rPr>
                <w:sz w:val="22"/>
                <w:szCs w:val="22"/>
              </w:rPr>
            </w:pPr>
            <w:r w:rsidRPr="001057AA">
              <w:rPr>
                <w:sz w:val="22"/>
                <w:szCs w:val="22"/>
              </w:rPr>
              <w:t xml:space="preserve">Hands free </w:t>
            </w:r>
            <w:r w:rsidR="00353560" w:rsidRPr="001057AA">
              <w:rPr>
                <w:sz w:val="22"/>
                <w:szCs w:val="22"/>
              </w:rPr>
              <w:t>sink.</w:t>
            </w:r>
          </w:p>
          <w:p w14:paraId="1C45B27D" w14:textId="050EA2D6" w:rsidR="00E81B2C" w:rsidRPr="001057AA" w:rsidRDefault="00E81B2C" w:rsidP="000A313A">
            <w:pPr>
              <w:pStyle w:val="ListParagraph"/>
              <w:numPr>
                <w:ilvl w:val="0"/>
                <w:numId w:val="43"/>
              </w:numPr>
              <w:spacing w:after="120"/>
              <w:rPr>
                <w:sz w:val="22"/>
                <w:szCs w:val="22"/>
              </w:rPr>
            </w:pPr>
            <w:r w:rsidRPr="001057AA">
              <w:rPr>
                <w:sz w:val="22"/>
                <w:szCs w:val="22"/>
              </w:rPr>
              <w:t>Laboratory must be sealable</w:t>
            </w:r>
          </w:p>
        </w:tc>
        <w:tc>
          <w:tcPr>
            <w:tcW w:w="3865" w:type="dxa"/>
          </w:tcPr>
          <w:p w14:paraId="38DD22ED" w14:textId="6D80050E" w:rsidR="00E81B2C" w:rsidRPr="00A35617" w:rsidRDefault="00E81B2C" w:rsidP="001A2B42">
            <w:pPr>
              <w:spacing w:after="120"/>
              <w:rPr>
                <w:sz w:val="22"/>
                <w:szCs w:val="22"/>
              </w:rPr>
            </w:pPr>
            <w:r w:rsidRPr="00A35617">
              <w:rPr>
                <w:sz w:val="22"/>
                <w:szCs w:val="22"/>
              </w:rPr>
              <w:t>All BSL-1 and BSL-2 requirements plus the following:</w:t>
            </w:r>
          </w:p>
          <w:p w14:paraId="1691BCCF" w14:textId="7D5E484E" w:rsidR="00E81B2C" w:rsidRPr="001057AA" w:rsidRDefault="00E81B2C" w:rsidP="000A313A">
            <w:pPr>
              <w:pStyle w:val="ListParagraph"/>
              <w:numPr>
                <w:ilvl w:val="0"/>
                <w:numId w:val="43"/>
              </w:numPr>
              <w:spacing w:after="120"/>
              <w:rPr>
                <w:sz w:val="22"/>
                <w:szCs w:val="22"/>
              </w:rPr>
            </w:pPr>
            <w:r w:rsidRPr="001057AA">
              <w:rPr>
                <w:sz w:val="22"/>
                <w:szCs w:val="22"/>
              </w:rPr>
              <w:t xml:space="preserve">Enhanced secure </w:t>
            </w:r>
            <w:r w:rsidR="00353560" w:rsidRPr="001057AA">
              <w:rPr>
                <w:sz w:val="22"/>
                <w:szCs w:val="22"/>
              </w:rPr>
              <w:t>access.</w:t>
            </w:r>
          </w:p>
          <w:p w14:paraId="5D2BC4E0" w14:textId="44BD162D" w:rsidR="00E81B2C" w:rsidRDefault="00E81B2C" w:rsidP="000A313A">
            <w:pPr>
              <w:pStyle w:val="ListParagraph"/>
              <w:numPr>
                <w:ilvl w:val="0"/>
                <w:numId w:val="46"/>
              </w:numPr>
              <w:spacing w:after="120"/>
              <w:rPr>
                <w:sz w:val="22"/>
                <w:szCs w:val="22"/>
              </w:rPr>
            </w:pPr>
            <w:r w:rsidRPr="001057AA">
              <w:rPr>
                <w:sz w:val="22"/>
                <w:szCs w:val="22"/>
              </w:rPr>
              <w:t>All work conducted in biosafety cabinet</w:t>
            </w:r>
            <w:r>
              <w:rPr>
                <w:sz w:val="22"/>
                <w:szCs w:val="22"/>
              </w:rPr>
              <w:t xml:space="preserve"> or other containment </w:t>
            </w:r>
            <w:r w:rsidR="00353560">
              <w:rPr>
                <w:sz w:val="22"/>
                <w:szCs w:val="22"/>
              </w:rPr>
              <w:t>devices.</w:t>
            </w:r>
          </w:p>
          <w:p w14:paraId="6E613A28" w14:textId="017B95FB" w:rsidR="00E81B2C" w:rsidRPr="00353560" w:rsidRDefault="00E81B2C" w:rsidP="001057AA">
            <w:pPr>
              <w:pStyle w:val="ListParagraph"/>
              <w:numPr>
                <w:ilvl w:val="0"/>
                <w:numId w:val="46"/>
              </w:numPr>
              <w:spacing w:after="120"/>
              <w:rPr>
                <w:sz w:val="22"/>
                <w:szCs w:val="22"/>
              </w:rPr>
            </w:pPr>
            <w:r w:rsidRPr="00353560">
              <w:rPr>
                <w:sz w:val="22"/>
                <w:szCs w:val="22"/>
              </w:rPr>
              <w:t xml:space="preserve">Facility decontamination may </w:t>
            </w:r>
            <w:r w:rsidR="00353560" w:rsidRPr="00353560">
              <w:rPr>
                <w:sz w:val="22"/>
                <w:szCs w:val="22"/>
              </w:rPr>
              <w:t>be</w:t>
            </w:r>
            <w:r w:rsidR="00353560">
              <w:rPr>
                <w:sz w:val="22"/>
                <w:szCs w:val="22"/>
              </w:rPr>
              <w:t xml:space="preserve"> </w:t>
            </w:r>
            <w:r w:rsidR="00353560" w:rsidRPr="00353560">
              <w:rPr>
                <w:sz w:val="22"/>
                <w:szCs w:val="22"/>
              </w:rPr>
              <w:t>performed.</w:t>
            </w:r>
          </w:p>
          <w:p w14:paraId="70051B73" w14:textId="18B82DE5" w:rsidR="00E81B2C" w:rsidRPr="001057AA" w:rsidRDefault="00E81B2C" w:rsidP="00353560">
            <w:pPr>
              <w:pStyle w:val="ListParagraph"/>
              <w:numPr>
                <w:ilvl w:val="0"/>
                <w:numId w:val="46"/>
              </w:numPr>
              <w:spacing w:after="120"/>
              <w:rPr>
                <w:sz w:val="22"/>
                <w:szCs w:val="22"/>
              </w:rPr>
            </w:pPr>
            <w:r w:rsidRPr="001057AA">
              <w:rPr>
                <w:sz w:val="22"/>
                <w:szCs w:val="22"/>
              </w:rPr>
              <w:t>Decontamination practices are</w:t>
            </w:r>
            <w:r w:rsidR="00353560">
              <w:rPr>
                <w:sz w:val="22"/>
                <w:szCs w:val="22"/>
              </w:rPr>
              <w:t xml:space="preserve"> </w:t>
            </w:r>
            <w:r w:rsidRPr="001057AA">
              <w:rPr>
                <w:sz w:val="22"/>
                <w:szCs w:val="22"/>
              </w:rPr>
              <w:t>routinely verified</w:t>
            </w:r>
          </w:p>
        </w:tc>
      </w:tr>
      <w:tr w:rsidR="00E81B2C" w:rsidRPr="00A35617" w14:paraId="49CFC251" w14:textId="77777777" w:rsidTr="001A2B42">
        <w:tc>
          <w:tcPr>
            <w:tcW w:w="2245" w:type="dxa"/>
            <w:vMerge/>
          </w:tcPr>
          <w:p w14:paraId="27C0A782" w14:textId="77777777" w:rsidR="00E81B2C" w:rsidRPr="00A35617" w:rsidRDefault="00E81B2C" w:rsidP="001A2B42">
            <w:pPr>
              <w:spacing w:after="120"/>
              <w:rPr>
                <w:b/>
                <w:bCs/>
                <w:sz w:val="22"/>
                <w:szCs w:val="22"/>
              </w:rPr>
            </w:pPr>
          </w:p>
        </w:tc>
        <w:tc>
          <w:tcPr>
            <w:tcW w:w="7105" w:type="dxa"/>
            <w:gridSpan w:val="2"/>
          </w:tcPr>
          <w:p w14:paraId="24E6EAF0" w14:textId="1FF98FC4" w:rsidR="00E81B2C" w:rsidRPr="00A35617" w:rsidRDefault="00E81B2C" w:rsidP="001A2B42">
            <w:pPr>
              <w:tabs>
                <w:tab w:val="left" w:pos="1320"/>
              </w:tabs>
              <w:spacing w:after="120"/>
              <w:rPr>
                <w:b/>
                <w:bCs/>
                <w:sz w:val="22"/>
                <w:szCs w:val="22"/>
              </w:rPr>
            </w:pPr>
            <w:r w:rsidRPr="00A35617">
              <w:rPr>
                <w:b/>
                <w:bCs/>
                <w:sz w:val="22"/>
                <w:szCs w:val="22"/>
              </w:rPr>
              <w:t>No work at BSL-</w:t>
            </w:r>
            <w:r>
              <w:rPr>
                <w:b/>
                <w:bCs/>
                <w:sz w:val="22"/>
                <w:szCs w:val="22"/>
              </w:rPr>
              <w:t>3</w:t>
            </w:r>
            <w:r w:rsidRPr="00A35617">
              <w:rPr>
                <w:b/>
                <w:bCs/>
                <w:sz w:val="22"/>
                <w:szCs w:val="22"/>
              </w:rPr>
              <w:t xml:space="preserve"> is conducted at the University of North Dakota</w:t>
            </w:r>
          </w:p>
        </w:tc>
      </w:tr>
      <w:tr w:rsidR="00A35617" w:rsidRPr="00A35617" w14:paraId="78FB4EE4" w14:textId="77777777" w:rsidTr="001A2B42">
        <w:tc>
          <w:tcPr>
            <w:tcW w:w="2245" w:type="dxa"/>
          </w:tcPr>
          <w:p w14:paraId="4FE9B09E" w14:textId="2FE3EAD6" w:rsidR="00A35617" w:rsidRPr="00A35617" w:rsidRDefault="00A35617" w:rsidP="001A2B42">
            <w:pPr>
              <w:spacing w:after="120"/>
              <w:rPr>
                <w:b/>
                <w:bCs/>
                <w:sz w:val="22"/>
                <w:szCs w:val="22"/>
              </w:rPr>
            </w:pPr>
            <w:r w:rsidRPr="00A35617">
              <w:rPr>
                <w:b/>
                <w:bCs/>
                <w:sz w:val="22"/>
                <w:szCs w:val="22"/>
              </w:rPr>
              <w:t>BSL-4</w:t>
            </w:r>
          </w:p>
        </w:tc>
        <w:tc>
          <w:tcPr>
            <w:tcW w:w="7105" w:type="dxa"/>
            <w:gridSpan w:val="2"/>
          </w:tcPr>
          <w:p w14:paraId="5329785C" w14:textId="55B4D108" w:rsidR="00A35617" w:rsidRPr="00A35617" w:rsidRDefault="00A35617" w:rsidP="001A2B42">
            <w:pPr>
              <w:tabs>
                <w:tab w:val="left" w:pos="1320"/>
              </w:tabs>
              <w:spacing w:after="120"/>
              <w:rPr>
                <w:b/>
                <w:bCs/>
                <w:sz w:val="22"/>
                <w:szCs w:val="22"/>
              </w:rPr>
            </w:pPr>
            <w:r w:rsidRPr="00A35617">
              <w:rPr>
                <w:b/>
                <w:bCs/>
                <w:sz w:val="22"/>
                <w:szCs w:val="22"/>
              </w:rPr>
              <w:t>No work at BSL-4 is conducted at the University of North Dakota</w:t>
            </w:r>
          </w:p>
        </w:tc>
      </w:tr>
    </w:tbl>
    <w:p w14:paraId="43C57E3E" w14:textId="77777777" w:rsidR="00E22231" w:rsidRPr="0014205E" w:rsidRDefault="00E22231" w:rsidP="0014205E">
      <w:pPr>
        <w:spacing w:after="120"/>
        <w:rPr>
          <w:sz w:val="22"/>
          <w:szCs w:val="22"/>
        </w:rPr>
      </w:pPr>
    </w:p>
    <w:p w14:paraId="797C5F69" w14:textId="77777777" w:rsidR="007C65DA" w:rsidRPr="0014205E" w:rsidRDefault="007C65DA" w:rsidP="0014205E">
      <w:pPr>
        <w:spacing w:after="120"/>
        <w:rPr>
          <w:b/>
          <w:bCs/>
          <w:sz w:val="22"/>
          <w:szCs w:val="22"/>
        </w:rPr>
      </w:pPr>
      <w:r w:rsidRPr="0014205E">
        <w:rPr>
          <w:b/>
          <w:bCs/>
          <w:sz w:val="22"/>
          <w:szCs w:val="22"/>
        </w:rPr>
        <w:t>Animal Biosafety Levels</w:t>
      </w:r>
    </w:p>
    <w:p w14:paraId="3F9BA04B" w14:textId="33653469" w:rsidR="007C65DA" w:rsidRPr="00D06B33" w:rsidRDefault="007C65DA" w:rsidP="00AE67B9">
      <w:pPr>
        <w:spacing w:after="120" w:line="240" w:lineRule="auto"/>
        <w:rPr>
          <w:sz w:val="22"/>
          <w:szCs w:val="22"/>
        </w:rPr>
      </w:pPr>
      <w:r w:rsidRPr="00D06B33">
        <w:rPr>
          <w:sz w:val="22"/>
          <w:szCs w:val="22"/>
        </w:rPr>
        <w:t xml:space="preserve">A similar set of four biosafety levels are provided for work with vertebrate animals infected with agents, which may infect humans. These Animal Biosafety Levels, ABSL 1 thru 4, outlines practices, </w:t>
      </w:r>
      <w:r w:rsidRPr="00D06B33">
        <w:rPr>
          <w:sz w:val="22"/>
          <w:szCs w:val="22"/>
        </w:rPr>
        <w:lastRenderedPageBreak/>
        <w:t>equipment, and facilities that are comparable to the laboratory biosafety levels described previously.</w:t>
      </w:r>
    </w:p>
    <w:tbl>
      <w:tblPr>
        <w:tblStyle w:val="TableGrid"/>
        <w:tblW w:w="0" w:type="auto"/>
        <w:tblLook w:val="04A0" w:firstRow="1" w:lastRow="0" w:firstColumn="1" w:lastColumn="0" w:noHBand="0" w:noVBand="1"/>
      </w:tblPr>
      <w:tblGrid>
        <w:gridCol w:w="2155"/>
        <w:gridCol w:w="4230"/>
        <w:gridCol w:w="2965"/>
      </w:tblGrid>
      <w:tr w:rsidR="00AE67B9" w:rsidRPr="00A35617" w14:paraId="49BECE13" w14:textId="77777777" w:rsidTr="00D06B33">
        <w:trPr>
          <w:tblHeader/>
        </w:trPr>
        <w:tc>
          <w:tcPr>
            <w:tcW w:w="2155" w:type="dxa"/>
            <w:shd w:val="clear" w:color="auto" w:fill="59A56D"/>
          </w:tcPr>
          <w:p w14:paraId="1570F78F" w14:textId="72D4631C" w:rsidR="00AE67B9" w:rsidRPr="006F6990" w:rsidRDefault="00AE67B9" w:rsidP="00AE67B9">
            <w:pPr>
              <w:spacing w:after="120"/>
              <w:jc w:val="center"/>
              <w:rPr>
                <w:b/>
                <w:bCs/>
                <w:color w:val="FFFFFF" w:themeColor="background1"/>
                <w:sz w:val="22"/>
                <w:szCs w:val="22"/>
              </w:rPr>
            </w:pPr>
            <w:r w:rsidRPr="006F6990">
              <w:rPr>
                <w:b/>
                <w:bCs/>
                <w:color w:val="FFFFFF" w:themeColor="background1"/>
                <w:sz w:val="22"/>
                <w:szCs w:val="22"/>
              </w:rPr>
              <w:t>BIOSAFETY LEVEL</w:t>
            </w:r>
          </w:p>
        </w:tc>
        <w:tc>
          <w:tcPr>
            <w:tcW w:w="4230" w:type="dxa"/>
            <w:shd w:val="clear" w:color="auto" w:fill="59A56D"/>
          </w:tcPr>
          <w:p w14:paraId="29D5F1EE" w14:textId="6719B3FE" w:rsidR="00AE67B9" w:rsidRPr="006F6990" w:rsidRDefault="00AE67B9" w:rsidP="00AE67B9">
            <w:pPr>
              <w:spacing w:after="120"/>
              <w:jc w:val="center"/>
              <w:rPr>
                <w:b/>
                <w:bCs/>
                <w:color w:val="FFFFFF" w:themeColor="background1"/>
                <w:sz w:val="22"/>
                <w:szCs w:val="22"/>
              </w:rPr>
            </w:pPr>
            <w:r w:rsidRPr="006F6990">
              <w:rPr>
                <w:b/>
                <w:bCs/>
                <w:color w:val="FFFFFF" w:themeColor="background1"/>
                <w:sz w:val="22"/>
                <w:szCs w:val="22"/>
              </w:rPr>
              <w:t>FACILITY REQUIREMENTS</w:t>
            </w:r>
          </w:p>
        </w:tc>
        <w:tc>
          <w:tcPr>
            <w:tcW w:w="2965" w:type="dxa"/>
            <w:shd w:val="clear" w:color="auto" w:fill="59A56D"/>
          </w:tcPr>
          <w:p w14:paraId="0FAF0E28" w14:textId="04B500A2" w:rsidR="00AE67B9" w:rsidRPr="006F6990" w:rsidRDefault="00AE67B9" w:rsidP="00AE67B9">
            <w:pPr>
              <w:spacing w:after="120"/>
              <w:jc w:val="center"/>
              <w:rPr>
                <w:b/>
                <w:bCs/>
                <w:color w:val="FFFFFF" w:themeColor="background1"/>
                <w:sz w:val="22"/>
                <w:szCs w:val="22"/>
              </w:rPr>
            </w:pPr>
            <w:r w:rsidRPr="006F6990">
              <w:rPr>
                <w:b/>
                <w:bCs/>
                <w:color w:val="FFFFFF" w:themeColor="background1"/>
                <w:sz w:val="22"/>
                <w:szCs w:val="22"/>
              </w:rPr>
              <w:t>PRACTICES</w:t>
            </w:r>
          </w:p>
        </w:tc>
      </w:tr>
      <w:tr w:rsidR="00AE67B9" w:rsidRPr="00A35617" w14:paraId="61B28B38" w14:textId="77777777" w:rsidTr="00D06B33">
        <w:tc>
          <w:tcPr>
            <w:tcW w:w="2155" w:type="dxa"/>
          </w:tcPr>
          <w:p w14:paraId="399037E1" w14:textId="77777777" w:rsidR="00AE67B9" w:rsidRPr="00A35617" w:rsidRDefault="00AE67B9" w:rsidP="00AE67B9">
            <w:pPr>
              <w:spacing w:after="120"/>
              <w:rPr>
                <w:b/>
                <w:bCs/>
                <w:sz w:val="22"/>
                <w:szCs w:val="22"/>
              </w:rPr>
            </w:pPr>
            <w:r w:rsidRPr="00A35617">
              <w:rPr>
                <w:b/>
                <w:bCs/>
                <w:sz w:val="22"/>
                <w:szCs w:val="22"/>
              </w:rPr>
              <w:t>ABSL-1</w:t>
            </w:r>
          </w:p>
          <w:p w14:paraId="37F49BEC" w14:textId="4C590609" w:rsidR="00AE67B9" w:rsidRPr="00A35617" w:rsidRDefault="00AE67B9" w:rsidP="00AE67B9">
            <w:pPr>
              <w:spacing w:after="120"/>
              <w:rPr>
                <w:sz w:val="22"/>
                <w:szCs w:val="22"/>
              </w:rPr>
            </w:pPr>
            <w:r w:rsidRPr="00A35617">
              <w:rPr>
                <w:sz w:val="22"/>
                <w:szCs w:val="22"/>
              </w:rPr>
              <w:t>Agent(s) used: Noninfectious</w:t>
            </w:r>
            <w:r w:rsidR="00A35617" w:rsidRPr="00A35617">
              <w:rPr>
                <w:sz w:val="22"/>
                <w:szCs w:val="22"/>
              </w:rPr>
              <w:t xml:space="preserve"> to healthy adults</w:t>
            </w:r>
          </w:p>
        </w:tc>
        <w:tc>
          <w:tcPr>
            <w:tcW w:w="4230" w:type="dxa"/>
          </w:tcPr>
          <w:p w14:paraId="5BF8B23D" w14:textId="77777777" w:rsidR="00AE67B9" w:rsidRPr="00A35617" w:rsidRDefault="00AE67B9" w:rsidP="000A313A">
            <w:pPr>
              <w:pStyle w:val="ListParagraph"/>
              <w:numPr>
                <w:ilvl w:val="0"/>
                <w:numId w:val="41"/>
              </w:numPr>
              <w:spacing w:after="120"/>
              <w:rPr>
                <w:sz w:val="22"/>
                <w:szCs w:val="22"/>
              </w:rPr>
            </w:pPr>
            <w:r w:rsidRPr="00A35617">
              <w:rPr>
                <w:sz w:val="22"/>
                <w:szCs w:val="22"/>
              </w:rPr>
              <w:t>Restricted access with external facility doors self-closing and self-locking</w:t>
            </w:r>
          </w:p>
          <w:p w14:paraId="12656FF6" w14:textId="4BD85009" w:rsidR="00AE67B9" w:rsidRPr="00A35617" w:rsidRDefault="00AE67B9" w:rsidP="000A313A">
            <w:pPr>
              <w:pStyle w:val="ListParagraph"/>
              <w:numPr>
                <w:ilvl w:val="0"/>
                <w:numId w:val="41"/>
              </w:numPr>
              <w:spacing w:after="120"/>
              <w:rPr>
                <w:sz w:val="22"/>
                <w:szCs w:val="22"/>
              </w:rPr>
            </w:pPr>
            <w:r w:rsidRPr="00A35617">
              <w:rPr>
                <w:sz w:val="22"/>
                <w:szCs w:val="22"/>
              </w:rPr>
              <w:t xml:space="preserve">Designed, constructed, and maintained to facilitate cleaning and </w:t>
            </w:r>
            <w:proofErr w:type="gramStart"/>
            <w:r w:rsidRPr="00A35617">
              <w:rPr>
                <w:sz w:val="22"/>
                <w:szCs w:val="22"/>
              </w:rPr>
              <w:t>housekeeping</w:t>
            </w:r>
            <w:proofErr w:type="gramEnd"/>
          </w:p>
          <w:p w14:paraId="2A46ED80" w14:textId="4483432F" w:rsidR="00AE67B9" w:rsidRPr="00A35617" w:rsidRDefault="00AE67B9" w:rsidP="000A313A">
            <w:pPr>
              <w:pStyle w:val="ListParagraph"/>
              <w:numPr>
                <w:ilvl w:val="0"/>
                <w:numId w:val="41"/>
              </w:numPr>
              <w:spacing w:after="120"/>
              <w:rPr>
                <w:sz w:val="22"/>
                <w:szCs w:val="22"/>
              </w:rPr>
            </w:pPr>
            <w:r w:rsidRPr="00A35617">
              <w:rPr>
                <w:sz w:val="22"/>
                <w:szCs w:val="22"/>
              </w:rPr>
              <w:t xml:space="preserve">Furniture can support anticipated loads and </w:t>
            </w:r>
            <w:proofErr w:type="gramStart"/>
            <w:r w:rsidR="00353560" w:rsidRPr="00A35617">
              <w:rPr>
                <w:sz w:val="22"/>
                <w:szCs w:val="22"/>
              </w:rPr>
              <w:t>uses</w:t>
            </w:r>
            <w:proofErr w:type="gramEnd"/>
          </w:p>
          <w:p w14:paraId="13A1E427" w14:textId="4F1063C4" w:rsidR="00AE67B9" w:rsidRPr="00A35617" w:rsidRDefault="00AE67B9" w:rsidP="000A313A">
            <w:pPr>
              <w:pStyle w:val="ListParagraph"/>
              <w:numPr>
                <w:ilvl w:val="0"/>
                <w:numId w:val="41"/>
              </w:numPr>
              <w:spacing w:after="120"/>
              <w:rPr>
                <w:sz w:val="22"/>
                <w:szCs w:val="22"/>
              </w:rPr>
            </w:pPr>
            <w:r w:rsidRPr="00A35617">
              <w:rPr>
                <w:sz w:val="22"/>
                <w:szCs w:val="22"/>
              </w:rPr>
              <w:t xml:space="preserve">Sink </w:t>
            </w:r>
            <w:r w:rsidR="00353560" w:rsidRPr="00A35617">
              <w:rPr>
                <w:sz w:val="22"/>
                <w:szCs w:val="22"/>
              </w:rPr>
              <w:t>is available</w:t>
            </w:r>
            <w:r w:rsidRPr="00A35617">
              <w:rPr>
                <w:sz w:val="22"/>
                <w:szCs w:val="22"/>
              </w:rPr>
              <w:t xml:space="preserve"> for </w:t>
            </w:r>
            <w:proofErr w:type="gramStart"/>
            <w:r w:rsidR="00353560" w:rsidRPr="00A35617">
              <w:rPr>
                <w:sz w:val="22"/>
                <w:szCs w:val="22"/>
              </w:rPr>
              <w:t>handwashing</w:t>
            </w:r>
            <w:proofErr w:type="gramEnd"/>
          </w:p>
          <w:p w14:paraId="7D1B8419" w14:textId="77777777" w:rsidR="00AE67B9" w:rsidRPr="00A35617" w:rsidRDefault="00AE67B9" w:rsidP="000A313A">
            <w:pPr>
              <w:pStyle w:val="ListParagraph"/>
              <w:numPr>
                <w:ilvl w:val="0"/>
                <w:numId w:val="41"/>
              </w:numPr>
              <w:spacing w:after="120"/>
              <w:rPr>
                <w:sz w:val="22"/>
                <w:szCs w:val="22"/>
              </w:rPr>
            </w:pPr>
            <w:r w:rsidRPr="00A35617">
              <w:rPr>
                <w:sz w:val="22"/>
                <w:szCs w:val="22"/>
              </w:rPr>
              <w:t>Emergency eyewash and shower readily available</w:t>
            </w:r>
          </w:p>
          <w:p w14:paraId="5472F5BD" w14:textId="7AB53AB6" w:rsidR="00AE67B9" w:rsidRPr="00A35617" w:rsidRDefault="00AE67B9" w:rsidP="000A313A">
            <w:pPr>
              <w:pStyle w:val="ListParagraph"/>
              <w:numPr>
                <w:ilvl w:val="0"/>
                <w:numId w:val="41"/>
              </w:numPr>
              <w:spacing w:after="120"/>
              <w:rPr>
                <w:sz w:val="22"/>
                <w:szCs w:val="22"/>
              </w:rPr>
            </w:pPr>
            <w:r w:rsidRPr="00A35617">
              <w:rPr>
                <w:sz w:val="22"/>
                <w:szCs w:val="22"/>
              </w:rPr>
              <w:t xml:space="preserve">Ventilation </w:t>
            </w:r>
            <w:proofErr w:type="gramStart"/>
            <w:r w:rsidRPr="00A35617">
              <w:rPr>
                <w:sz w:val="22"/>
                <w:szCs w:val="22"/>
              </w:rPr>
              <w:t>is provided</w:t>
            </w:r>
            <w:proofErr w:type="gramEnd"/>
            <w:r w:rsidRPr="00A35617">
              <w:rPr>
                <w:sz w:val="22"/>
                <w:szCs w:val="22"/>
              </w:rPr>
              <w:t xml:space="preserve"> in accordance with the Guide for the Care and Use of Laboratory Animals </w:t>
            </w:r>
          </w:p>
          <w:p w14:paraId="3E0E9197" w14:textId="159A53C0" w:rsidR="00AE67B9" w:rsidRPr="00A35617" w:rsidRDefault="00AE67B9" w:rsidP="000A313A">
            <w:pPr>
              <w:pStyle w:val="ListParagraph"/>
              <w:numPr>
                <w:ilvl w:val="0"/>
                <w:numId w:val="41"/>
              </w:numPr>
              <w:spacing w:after="120"/>
              <w:rPr>
                <w:sz w:val="22"/>
                <w:szCs w:val="22"/>
              </w:rPr>
            </w:pPr>
            <w:r w:rsidRPr="00A35617">
              <w:rPr>
                <w:sz w:val="22"/>
                <w:szCs w:val="22"/>
              </w:rPr>
              <w:t xml:space="preserve">Special containment equipment is determined by risk assessment. If used, equipment </w:t>
            </w:r>
            <w:proofErr w:type="gramStart"/>
            <w:r w:rsidRPr="00A35617">
              <w:rPr>
                <w:sz w:val="22"/>
                <w:szCs w:val="22"/>
              </w:rPr>
              <w:t>is installed</w:t>
            </w:r>
            <w:proofErr w:type="gramEnd"/>
            <w:r w:rsidRPr="00A35617">
              <w:rPr>
                <w:sz w:val="22"/>
                <w:szCs w:val="22"/>
              </w:rPr>
              <w:t xml:space="preserve"> and operated in a manner to ensure effective operation</w:t>
            </w:r>
          </w:p>
        </w:tc>
        <w:tc>
          <w:tcPr>
            <w:tcW w:w="2965" w:type="dxa"/>
          </w:tcPr>
          <w:p w14:paraId="11632805" w14:textId="77777777" w:rsidR="00AE67B9" w:rsidRPr="00A35617" w:rsidRDefault="00AE67B9" w:rsidP="000A313A">
            <w:pPr>
              <w:pStyle w:val="ListParagraph"/>
              <w:numPr>
                <w:ilvl w:val="0"/>
                <w:numId w:val="41"/>
              </w:numPr>
              <w:spacing w:after="120"/>
              <w:rPr>
                <w:sz w:val="22"/>
                <w:szCs w:val="22"/>
              </w:rPr>
            </w:pPr>
            <w:r w:rsidRPr="00A35617">
              <w:rPr>
                <w:sz w:val="22"/>
                <w:szCs w:val="22"/>
              </w:rPr>
              <w:t>Standard Microbiological Practices</w:t>
            </w:r>
          </w:p>
          <w:p w14:paraId="4C277B20" w14:textId="77777777" w:rsidR="00AE67B9" w:rsidRPr="00A35617" w:rsidRDefault="00AE67B9" w:rsidP="000A313A">
            <w:pPr>
              <w:pStyle w:val="ListParagraph"/>
              <w:numPr>
                <w:ilvl w:val="0"/>
                <w:numId w:val="41"/>
              </w:numPr>
              <w:spacing w:after="120"/>
              <w:rPr>
                <w:sz w:val="22"/>
                <w:szCs w:val="22"/>
              </w:rPr>
            </w:pPr>
            <w:r w:rsidRPr="00A35617">
              <w:rPr>
                <w:sz w:val="22"/>
                <w:szCs w:val="22"/>
              </w:rPr>
              <w:t>All laboratory-related incidents, injuries, illnesses, and near misses are reported to Office of Safety</w:t>
            </w:r>
          </w:p>
          <w:p w14:paraId="4FF41410" w14:textId="1E2108DB" w:rsidR="00AE67B9" w:rsidRPr="00A35617" w:rsidRDefault="00AE67B9" w:rsidP="000A313A">
            <w:pPr>
              <w:pStyle w:val="ListParagraph"/>
              <w:numPr>
                <w:ilvl w:val="0"/>
                <w:numId w:val="41"/>
              </w:numPr>
              <w:spacing w:after="120"/>
              <w:rPr>
                <w:sz w:val="22"/>
                <w:szCs w:val="22"/>
              </w:rPr>
            </w:pPr>
            <w:r w:rsidRPr="00A35617">
              <w:rPr>
                <w:sz w:val="22"/>
                <w:szCs w:val="22"/>
              </w:rPr>
              <w:t>PPE must be worn in accordance with animal facility and Office of Safety policies</w:t>
            </w:r>
          </w:p>
        </w:tc>
      </w:tr>
      <w:tr w:rsidR="00AE67B9" w:rsidRPr="00A35617" w14:paraId="43DEF34E" w14:textId="77777777" w:rsidTr="00D06B33">
        <w:trPr>
          <w:trHeight w:val="3905"/>
        </w:trPr>
        <w:tc>
          <w:tcPr>
            <w:tcW w:w="2155" w:type="dxa"/>
          </w:tcPr>
          <w:p w14:paraId="0D9C551D" w14:textId="77777777" w:rsidR="00AE67B9" w:rsidRPr="00A35617" w:rsidRDefault="00AE67B9" w:rsidP="00AE67B9">
            <w:pPr>
              <w:spacing w:after="120"/>
              <w:rPr>
                <w:b/>
                <w:bCs/>
                <w:sz w:val="22"/>
                <w:szCs w:val="22"/>
              </w:rPr>
            </w:pPr>
            <w:r w:rsidRPr="00A35617">
              <w:rPr>
                <w:b/>
                <w:bCs/>
                <w:sz w:val="22"/>
                <w:szCs w:val="22"/>
              </w:rPr>
              <w:t>ABSL-2</w:t>
            </w:r>
          </w:p>
          <w:p w14:paraId="1993C248" w14:textId="3DBB368B" w:rsidR="00AE67B9" w:rsidRPr="00A35617" w:rsidRDefault="00AE67B9" w:rsidP="00AE67B9">
            <w:pPr>
              <w:spacing w:after="120"/>
              <w:rPr>
                <w:sz w:val="22"/>
                <w:szCs w:val="22"/>
              </w:rPr>
            </w:pPr>
            <w:r w:rsidRPr="00A35617">
              <w:rPr>
                <w:sz w:val="22"/>
                <w:szCs w:val="22"/>
              </w:rPr>
              <w:t>Agent(s) used: Infectious spread via blood or oral/fecal transmission Includes human blood, human cell lines, toxins, venom, materials from Nonhuman primates</w:t>
            </w:r>
          </w:p>
        </w:tc>
        <w:tc>
          <w:tcPr>
            <w:tcW w:w="4230" w:type="dxa"/>
          </w:tcPr>
          <w:p w14:paraId="1D36CC59" w14:textId="565A7C25" w:rsidR="00A35617" w:rsidRPr="00A35617" w:rsidRDefault="00A35617" w:rsidP="00A35617">
            <w:pPr>
              <w:spacing w:after="120"/>
              <w:rPr>
                <w:sz w:val="22"/>
                <w:szCs w:val="22"/>
              </w:rPr>
            </w:pPr>
            <w:r w:rsidRPr="00A35617">
              <w:rPr>
                <w:sz w:val="22"/>
                <w:szCs w:val="22"/>
              </w:rPr>
              <w:t xml:space="preserve">All ABSL-1 requirements plus the following: </w:t>
            </w:r>
          </w:p>
          <w:p w14:paraId="42E58739" w14:textId="5C8BBB80" w:rsidR="00A35617" w:rsidRPr="00A35617" w:rsidRDefault="00A35617" w:rsidP="000A313A">
            <w:pPr>
              <w:pStyle w:val="ListParagraph"/>
              <w:numPr>
                <w:ilvl w:val="0"/>
                <w:numId w:val="42"/>
              </w:numPr>
              <w:spacing w:after="120"/>
              <w:rPr>
                <w:sz w:val="22"/>
                <w:szCs w:val="22"/>
              </w:rPr>
            </w:pPr>
            <w:r w:rsidRPr="00A35617">
              <w:rPr>
                <w:sz w:val="22"/>
                <w:szCs w:val="22"/>
              </w:rPr>
              <w:t xml:space="preserve">Vacuum lines </w:t>
            </w:r>
            <w:proofErr w:type="gramStart"/>
            <w:r w:rsidR="00353560" w:rsidRPr="00A35617">
              <w:rPr>
                <w:sz w:val="22"/>
                <w:szCs w:val="22"/>
              </w:rPr>
              <w:t>protected</w:t>
            </w:r>
            <w:proofErr w:type="gramEnd"/>
            <w:r w:rsidRPr="00A35617">
              <w:rPr>
                <w:sz w:val="22"/>
                <w:szCs w:val="22"/>
              </w:rPr>
              <w:t xml:space="preserve"> </w:t>
            </w:r>
          </w:p>
          <w:p w14:paraId="02833860" w14:textId="0E24BC9E" w:rsidR="00A35617" w:rsidRPr="00A35617" w:rsidRDefault="00A35617" w:rsidP="000A313A">
            <w:pPr>
              <w:pStyle w:val="ListParagraph"/>
              <w:numPr>
                <w:ilvl w:val="0"/>
                <w:numId w:val="42"/>
              </w:numPr>
              <w:spacing w:after="120"/>
              <w:rPr>
                <w:sz w:val="22"/>
                <w:szCs w:val="22"/>
              </w:rPr>
            </w:pPr>
            <w:r w:rsidRPr="00A35617">
              <w:rPr>
                <w:sz w:val="22"/>
                <w:szCs w:val="22"/>
              </w:rPr>
              <w:t xml:space="preserve">Autoclave available or approved alternative decontamination </w:t>
            </w:r>
            <w:proofErr w:type="gramStart"/>
            <w:r w:rsidR="00353560" w:rsidRPr="00A35617">
              <w:rPr>
                <w:sz w:val="22"/>
                <w:szCs w:val="22"/>
              </w:rPr>
              <w:t>method</w:t>
            </w:r>
            <w:proofErr w:type="gramEnd"/>
          </w:p>
          <w:p w14:paraId="3CE6A336" w14:textId="5CBE8E3C" w:rsidR="00A35617" w:rsidRPr="00A35617" w:rsidRDefault="00A35617" w:rsidP="000A313A">
            <w:pPr>
              <w:pStyle w:val="ListParagraph"/>
              <w:numPr>
                <w:ilvl w:val="0"/>
                <w:numId w:val="42"/>
              </w:numPr>
              <w:spacing w:after="120"/>
              <w:rPr>
                <w:sz w:val="22"/>
                <w:szCs w:val="22"/>
              </w:rPr>
            </w:pPr>
            <w:r w:rsidRPr="00A35617">
              <w:rPr>
                <w:sz w:val="22"/>
                <w:szCs w:val="22"/>
              </w:rPr>
              <w:t xml:space="preserve">Laboratories should be under negative or neutral </w:t>
            </w:r>
            <w:proofErr w:type="gramStart"/>
            <w:r w:rsidR="00353560" w:rsidRPr="00A35617">
              <w:rPr>
                <w:sz w:val="22"/>
                <w:szCs w:val="22"/>
              </w:rPr>
              <w:t>pressure</w:t>
            </w:r>
            <w:proofErr w:type="gramEnd"/>
          </w:p>
          <w:p w14:paraId="5490FCF3" w14:textId="205D2AC4" w:rsidR="00AE67B9" w:rsidRPr="00A35617" w:rsidRDefault="0092212B" w:rsidP="000A313A">
            <w:pPr>
              <w:pStyle w:val="ListParagraph"/>
              <w:numPr>
                <w:ilvl w:val="0"/>
                <w:numId w:val="42"/>
              </w:numPr>
              <w:spacing w:after="120"/>
              <w:rPr>
                <w:sz w:val="22"/>
                <w:szCs w:val="22"/>
              </w:rPr>
            </w:pPr>
            <w:r>
              <w:rPr>
                <w:sz w:val="22"/>
                <w:szCs w:val="22"/>
              </w:rPr>
              <w:t>Biosafety cabinets</w:t>
            </w:r>
            <w:r w:rsidR="00A35617" w:rsidRPr="00A35617">
              <w:rPr>
                <w:sz w:val="22"/>
                <w:szCs w:val="22"/>
              </w:rPr>
              <w:t xml:space="preserve"> and other primary containment barrier systems </w:t>
            </w:r>
            <w:proofErr w:type="gramStart"/>
            <w:r w:rsidR="00A35617" w:rsidRPr="00A35617">
              <w:rPr>
                <w:sz w:val="22"/>
                <w:szCs w:val="22"/>
              </w:rPr>
              <w:t>are installed</w:t>
            </w:r>
            <w:proofErr w:type="gramEnd"/>
            <w:r w:rsidR="00A35617" w:rsidRPr="00A35617">
              <w:rPr>
                <w:sz w:val="22"/>
                <w:szCs w:val="22"/>
              </w:rPr>
              <w:t xml:space="preserve"> and operated in a manner to ensure their effectiveness</w:t>
            </w:r>
          </w:p>
        </w:tc>
        <w:tc>
          <w:tcPr>
            <w:tcW w:w="2965" w:type="dxa"/>
          </w:tcPr>
          <w:p w14:paraId="01F2A049" w14:textId="4E776B41" w:rsidR="00A35617" w:rsidRPr="00A35617" w:rsidRDefault="00A35617" w:rsidP="00A35617">
            <w:pPr>
              <w:spacing w:after="120"/>
              <w:rPr>
                <w:sz w:val="22"/>
                <w:szCs w:val="22"/>
              </w:rPr>
            </w:pPr>
            <w:r w:rsidRPr="00A35617">
              <w:rPr>
                <w:sz w:val="22"/>
                <w:szCs w:val="22"/>
              </w:rPr>
              <w:t>All ABSL-1 requirements plus the following:</w:t>
            </w:r>
          </w:p>
          <w:p w14:paraId="36636087" w14:textId="15636E8A" w:rsidR="00A35617" w:rsidRPr="00A35617" w:rsidRDefault="00A35617" w:rsidP="000A313A">
            <w:pPr>
              <w:pStyle w:val="ListParagraph"/>
              <w:numPr>
                <w:ilvl w:val="0"/>
                <w:numId w:val="43"/>
              </w:numPr>
              <w:spacing w:after="120"/>
              <w:rPr>
                <w:sz w:val="22"/>
                <w:szCs w:val="22"/>
              </w:rPr>
            </w:pPr>
            <w:r w:rsidRPr="00A35617">
              <w:rPr>
                <w:sz w:val="22"/>
                <w:szCs w:val="22"/>
              </w:rPr>
              <w:t xml:space="preserve">Aerosol generating procedures must </w:t>
            </w:r>
            <w:proofErr w:type="gramStart"/>
            <w:r w:rsidRPr="00A35617">
              <w:rPr>
                <w:sz w:val="22"/>
                <w:szCs w:val="22"/>
              </w:rPr>
              <w:t>be conducted</w:t>
            </w:r>
            <w:proofErr w:type="gramEnd"/>
            <w:r w:rsidRPr="00A35617">
              <w:rPr>
                <w:sz w:val="22"/>
                <w:szCs w:val="22"/>
              </w:rPr>
              <w:t xml:space="preserve"> in a </w:t>
            </w:r>
            <w:r w:rsidR="0092212B">
              <w:rPr>
                <w:sz w:val="22"/>
                <w:szCs w:val="22"/>
              </w:rPr>
              <w:t xml:space="preserve">biosafety </w:t>
            </w:r>
            <w:proofErr w:type="gramStart"/>
            <w:r w:rsidR="00353560">
              <w:rPr>
                <w:sz w:val="22"/>
                <w:szCs w:val="22"/>
              </w:rPr>
              <w:t>cabinet</w:t>
            </w:r>
            <w:proofErr w:type="gramEnd"/>
          </w:p>
          <w:p w14:paraId="13989A6C" w14:textId="77777777" w:rsidR="00A35617" w:rsidRPr="00A35617" w:rsidRDefault="00A35617" w:rsidP="000A313A">
            <w:pPr>
              <w:pStyle w:val="ListParagraph"/>
              <w:numPr>
                <w:ilvl w:val="0"/>
                <w:numId w:val="43"/>
              </w:numPr>
              <w:spacing w:after="120"/>
              <w:rPr>
                <w:sz w:val="22"/>
                <w:szCs w:val="22"/>
              </w:rPr>
            </w:pPr>
            <w:r w:rsidRPr="00A35617">
              <w:rPr>
                <w:sz w:val="22"/>
                <w:szCs w:val="22"/>
              </w:rPr>
              <w:t xml:space="preserve">Laboratory personnel demonstrate proficiency (training must </w:t>
            </w:r>
            <w:proofErr w:type="gramStart"/>
            <w:r w:rsidRPr="00A35617">
              <w:rPr>
                <w:sz w:val="22"/>
                <w:szCs w:val="22"/>
              </w:rPr>
              <w:t>be documented</w:t>
            </w:r>
            <w:proofErr w:type="gramEnd"/>
            <w:r w:rsidRPr="00A35617">
              <w:rPr>
                <w:sz w:val="22"/>
                <w:szCs w:val="22"/>
              </w:rPr>
              <w:t xml:space="preserve">) </w:t>
            </w:r>
          </w:p>
          <w:p w14:paraId="6B731CE0" w14:textId="5E7397EF" w:rsidR="00A35617" w:rsidRPr="00A35617" w:rsidRDefault="00A35617" w:rsidP="000A313A">
            <w:pPr>
              <w:pStyle w:val="ListParagraph"/>
              <w:numPr>
                <w:ilvl w:val="0"/>
                <w:numId w:val="43"/>
              </w:numPr>
              <w:spacing w:after="120"/>
              <w:rPr>
                <w:sz w:val="22"/>
                <w:szCs w:val="22"/>
              </w:rPr>
            </w:pPr>
            <w:r w:rsidRPr="00A35617">
              <w:rPr>
                <w:sz w:val="22"/>
                <w:szCs w:val="22"/>
              </w:rPr>
              <w:t>Medical surveillance as</w:t>
            </w:r>
          </w:p>
          <w:p w14:paraId="3A27BF4D" w14:textId="77777777" w:rsidR="00A35617" w:rsidRPr="00A35617" w:rsidRDefault="00A35617" w:rsidP="00A35617">
            <w:pPr>
              <w:pStyle w:val="ListParagraph"/>
              <w:spacing w:after="120"/>
              <w:ind w:left="360"/>
              <w:rPr>
                <w:sz w:val="22"/>
                <w:szCs w:val="22"/>
              </w:rPr>
            </w:pPr>
            <w:r w:rsidRPr="00A35617">
              <w:rPr>
                <w:sz w:val="22"/>
                <w:szCs w:val="22"/>
              </w:rPr>
              <w:t>appropriate</w:t>
            </w:r>
          </w:p>
          <w:p w14:paraId="5944EA57" w14:textId="22945656" w:rsidR="00AE67B9" w:rsidRPr="00A35617" w:rsidRDefault="00A35617" w:rsidP="00353560">
            <w:pPr>
              <w:pStyle w:val="ListParagraph"/>
              <w:numPr>
                <w:ilvl w:val="0"/>
                <w:numId w:val="43"/>
              </w:numPr>
              <w:spacing w:after="120"/>
              <w:rPr>
                <w:sz w:val="22"/>
                <w:szCs w:val="22"/>
              </w:rPr>
            </w:pPr>
            <w:r w:rsidRPr="00A35617">
              <w:rPr>
                <w:sz w:val="22"/>
                <w:szCs w:val="22"/>
              </w:rPr>
              <w:t>Immunizations offered</w:t>
            </w:r>
            <w:r w:rsidR="00353560">
              <w:rPr>
                <w:sz w:val="22"/>
                <w:szCs w:val="22"/>
              </w:rPr>
              <w:t xml:space="preserve"> </w:t>
            </w:r>
            <w:r w:rsidRPr="00A35617">
              <w:rPr>
                <w:sz w:val="22"/>
                <w:szCs w:val="22"/>
              </w:rPr>
              <w:t>as available</w:t>
            </w:r>
          </w:p>
        </w:tc>
      </w:tr>
      <w:tr w:rsidR="00E81B2C" w:rsidRPr="00A35617" w14:paraId="191A2209" w14:textId="77777777" w:rsidTr="00D06B33">
        <w:tc>
          <w:tcPr>
            <w:tcW w:w="2155" w:type="dxa"/>
            <w:vMerge w:val="restart"/>
          </w:tcPr>
          <w:p w14:paraId="6D70B4A5" w14:textId="77777777" w:rsidR="00E81B2C" w:rsidRPr="00A35617" w:rsidRDefault="00E81B2C" w:rsidP="00AE67B9">
            <w:pPr>
              <w:spacing w:after="120"/>
              <w:rPr>
                <w:b/>
                <w:bCs/>
                <w:sz w:val="22"/>
                <w:szCs w:val="22"/>
              </w:rPr>
            </w:pPr>
            <w:r w:rsidRPr="00A35617">
              <w:rPr>
                <w:b/>
                <w:bCs/>
                <w:sz w:val="22"/>
                <w:szCs w:val="22"/>
              </w:rPr>
              <w:t>ABSL-3</w:t>
            </w:r>
          </w:p>
          <w:p w14:paraId="5B28E029" w14:textId="25FB35A0" w:rsidR="00E81B2C" w:rsidRPr="00A35617" w:rsidRDefault="00E81B2C" w:rsidP="00AE67B9">
            <w:pPr>
              <w:spacing w:after="120"/>
              <w:rPr>
                <w:sz w:val="22"/>
                <w:szCs w:val="22"/>
              </w:rPr>
            </w:pPr>
            <w:r w:rsidRPr="00A35617">
              <w:rPr>
                <w:sz w:val="22"/>
                <w:szCs w:val="22"/>
              </w:rPr>
              <w:t>Agent(s) used: Infectious spread via aerosol transmission</w:t>
            </w:r>
          </w:p>
        </w:tc>
        <w:tc>
          <w:tcPr>
            <w:tcW w:w="4230" w:type="dxa"/>
          </w:tcPr>
          <w:p w14:paraId="4FC1ED9E" w14:textId="49FEC925" w:rsidR="00E81B2C" w:rsidRPr="00A35617" w:rsidRDefault="00E81B2C" w:rsidP="00A35617">
            <w:pPr>
              <w:spacing w:after="120"/>
              <w:rPr>
                <w:sz w:val="22"/>
                <w:szCs w:val="22"/>
              </w:rPr>
            </w:pPr>
            <w:r w:rsidRPr="00A35617">
              <w:rPr>
                <w:sz w:val="22"/>
                <w:szCs w:val="22"/>
              </w:rPr>
              <w:t>All ABSL-1 and ABSL-2 requirements plus the following:</w:t>
            </w:r>
          </w:p>
          <w:p w14:paraId="5DC5B48B" w14:textId="1C5F17D0" w:rsidR="00E81B2C" w:rsidRPr="00E81B2C" w:rsidRDefault="00E81B2C" w:rsidP="00E81B2C">
            <w:pPr>
              <w:pStyle w:val="ListParagraph"/>
              <w:numPr>
                <w:ilvl w:val="0"/>
                <w:numId w:val="43"/>
              </w:numPr>
              <w:spacing w:after="120"/>
              <w:rPr>
                <w:sz w:val="22"/>
                <w:szCs w:val="22"/>
              </w:rPr>
            </w:pPr>
            <w:r w:rsidRPr="00E81B2C">
              <w:rPr>
                <w:sz w:val="22"/>
                <w:szCs w:val="22"/>
              </w:rPr>
              <w:t>Double door entry</w:t>
            </w:r>
          </w:p>
          <w:p w14:paraId="04AC12CA" w14:textId="02DA7BAB" w:rsidR="00E81B2C" w:rsidRPr="00E81B2C" w:rsidRDefault="00E81B2C" w:rsidP="00E81B2C">
            <w:pPr>
              <w:pStyle w:val="ListParagraph"/>
              <w:numPr>
                <w:ilvl w:val="0"/>
                <w:numId w:val="43"/>
              </w:numPr>
              <w:spacing w:after="120"/>
              <w:rPr>
                <w:sz w:val="22"/>
                <w:szCs w:val="22"/>
              </w:rPr>
            </w:pPr>
            <w:r w:rsidRPr="00E81B2C">
              <w:rPr>
                <w:sz w:val="22"/>
                <w:szCs w:val="22"/>
              </w:rPr>
              <w:t>Negative air flow</w:t>
            </w:r>
          </w:p>
          <w:p w14:paraId="58597E23" w14:textId="43F75530" w:rsidR="00E81B2C" w:rsidRPr="00E81B2C" w:rsidRDefault="00E81B2C" w:rsidP="00E81B2C">
            <w:pPr>
              <w:pStyle w:val="ListParagraph"/>
              <w:numPr>
                <w:ilvl w:val="0"/>
                <w:numId w:val="43"/>
              </w:numPr>
              <w:spacing w:after="120"/>
              <w:rPr>
                <w:sz w:val="22"/>
                <w:szCs w:val="22"/>
              </w:rPr>
            </w:pPr>
            <w:r w:rsidRPr="00E81B2C">
              <w:rPr>
                <w:sz w:val="22"/>
                <w:szCs w:val="22"/>
              </w:rPr>
              <w:t>Biosafety cabinet(s)</w:t>
            </w:r>
          </w:p>
          <w:p w14:paraId="7C48EBBD" w14:textId="7544E0AB" w:rsidR="00E81B2C" w:rsidRPr="00E81B2C" w:rsidRDefault="00E81B2C" w:rsidP="00E81B2C">
            <w:pPr>
              <w:pStyle w:val="ListParagraph"/>
              <w:numPr>
                <w:ilvl w:val="0"/>
                <w:numId w:val="43"/>
              </w:numPr>
              <w:spacing w:after="120"/>
              <w:rPr>
                <w:sz w:val="22"/>
                <w:szCs w:val="22"/>
              </w:rPr>
            </w:pPr>
            <w:r w:rsidRPr="00E81B2C">
              <w:rPr>
                <w:sz w:val="22"/>
                <w:szCs w:val="22"/>
              </w:rPr>
              <w:t xml:space="preserve">Hands free </w:t>
            </w:r>
            <w:r w:rsidR="00353560" w:rsidRPr="00E81B2C">
              <w:rPr>
                <w:sz w:val="22"/>
                <w:szCs w:val="22"/>
              </w:rPr>
              <w:t>sink.</w:t>
            </w:r>
          </w:p>
          <w:p w14:paraId="4A2C6327" w14:textId="47304F41" w:rsidR="00E81B2C" w:rsidRPr="00E81B2C" w:rsidRDefault="00E81B2C" w:rsidP="00E81B2C">
            <w:pPr>
              <w:pStyle w:val="ListParagraph"/>
              <w:numPr>
                <w:ilvl w:val="0"/>
                <w:numId w:val="92"/>
              </w:numPr>
              <w:spacing w:after="120"/>
              <w:rPr>
                <w:sz w:val="22"/>
                <w:szCs w:val="22"/>
              </w:rPr>
            </w:pPr>
            <w:r w:rsidRPr="00E81B2C">
              <w:rPr>
                <w:sz w:val="22"/>
                <w:szCs w:val="22"/>
              </w:rPr>
              <w:t>Laboratory must be sealable</w:t>
            </w:r>
          </w:p>
        </w:tc>
        <w:tc>
          <w:tcPr>
            <w:tcW w:w="2965" w:type="dxa"/>
          </w:tcPr>
          <w:p w14:paraId="312B26FD" w14:textId="091C559D" w:rsidR="00E81B2C" w:rsidRPr="00A35617" w:rsidRDefault="00E81B2C" w:rsidP="00A35617">
            <w:pPr>
              <w:spacing w:after="120"/>
              <w:rPr>
                <w:sz w:val="22"/>
                <w:szCs w:val="22"/>
              </w:rPr>
            </w:pPr>
            <w:r w:rsidRPr="00A35617">
              <w:rPr>
                <w:sz w:val="22"/>
                <w:szCs w:val="22"/>
              </w:rPr>
              <w:t>All ABSL-1 and ABSL-2 requirements plus the following:</w:t>
            </w:r>
          </w:p>
          <w:p w14:paraId="54C34CB3" w14:textId="597D2CEA" w:rsidR="00E81B2C" w:rsidRPr="00E81B2C" w:rsidRDefault="00E81B2C" w:rsidP="00E81B2C">
            <w:pPr>
              <w:pStyle w:val="ListParagraph"/>
              <w:numPr>
                <w:ilvl w:val="0"/>
                <w:numId w:val="43"/>
              </w:numPr>
              <w:spacing w:after="120"/>
              <w:rPr>
                <w:sz w:val="22"/>
                <w:szCs w:val="22"/>
              </w:rPr>
            </w:pPr>
            <w:r w:rsidRPr="00E81B2C">
              <w:rPr>
                <w:sz w:val="22"/>
                <w:szCs w:val="22"/>
              </w:rPr>
              <w:t xml:space="preserve">Enhanced secure </w:t>
            </w:r>
            <w:r w:rsidR="00353560" w:rsidRPr="00E81B2C">
              <w:rPr>
                <w:sz w:val="22"/>
                <w:szCs w:val="22"/>
              </w:rPr>
              <w:t>access.</w:t>
            </w:r>
          </w:p>
          <w:p w14:paraId="23E4BC57" w14:textId="3B6234FA" w:rsidR="00E81B2C" w:rsidRPr="00E81B2C" w:rsidRDefault="00E81B2C" w:rsidP="00E81B2C">
            <w:pPr>
              <w:pStyle w:val="ListParagraph"/>
              <w:numPr>
                <w:ilvl w:val="0"/>
                <w:numId w:val="93"/>
              </w:numPr>
              <w:spacing w:after="120"/>
              <w:rPr>
                <w:sz w:val="22"/>
                <w:szCs w:val="22"/>
              </w:rPr>
            </w:pPr>
            <w:r w:rsidRPr="00E81B2C">
              <w:rPr>
                <w:sz w:val="22"/>
                <w:szCs w:val="22"/>
              </w:rPr>
              <w:t>All work conducted in a biosafety cabinet</w:t>
            </w:r>
          </w:p>
        </w:tc>
      </w:tr>
      <w:tr w:rsidR="00E81B2C" w:rsidRPr="00A35617" w14:paraId="6C332CBC" w14:textId="77777777" w:rsidTr="00D06B33">
        <w:tc>
          <w:tcPr>
            <w:tcW w:w="2155" w:type="dxa"/>
            <w:vMerge/>
          </w:tcPr>
          <w:p w14:paraId="7C37AE05" w14:textId="77777777" w:rsidR="00E81B2C" w:rsidRPr="00A35617" w:rsidRDefault="00E81B2C" w:rsidP="00AE67B9">
            <w:pPr>
              <w:spacing w:after="120"/>
              <w:rPr>
                <w:b/>
                <w:bCs/>
                <w:sz w:val="22"/>
                <w:szCs w:val="22"/>
              </w:rPr>
            </w:pPr>
          </w:p>
        </w:tc>
        <w:tc>
          <w:tcPr>
            <w:tcW w:w="7195" w:type="dxa"/>
            <w:gridSpan w:val="2"/>
          </w:tcPr>
          <w:p w14:paraId="7F1BE528" w14:textId="3EEBE961" w:rsidR="00E81B2C" w:rsidRPr="00A35617" w:rsidRDefault="00E81B2C" w:rsidP="00A35617">
            <w:pPr>
              <w:tabs>
                <w:tab w:val="left" w:pos="1320"/>
              </w:tabs>
              <w:spacing w:after="120"/>
              <w:rPr>
                <w:b/>
                <w:bCs/>
                <w:sz w:val="22"/>
                <w:szCs w:val="22"/>
              </w:rPr>
            </w:pPr>
            <w:r w:rsidRPr="00A35617">
              <w:rPr>
                <w:b/>
                <w:bCs/>
                <w:sz w:val="22"/>
                <w:szCs w:val="22"/>
              </w:rPr>
              <w:t>No work at ABSL-</w:t>
            </w:r>
            <w:r>
              <w:rPr>
                <w:b/>
                <w:bCs/>
                <w:sz w:val="22"/>
                <w:szCs w:val="22"/>
              </w:rPr>
              <w:t>3</w:t>
            </w:r>
            <w:r w:rsidRPr="00A35617">
              <w:rPr>
                <w:b/>
                <w:bCs/>
                <w:sz w:val="22"/>
                <w:szCs w:val="22"/>
              </w:rPr>
              <w:t xml:space="preserve"> is conducted at the University of North Dakota</w:t>
            </w:r>
          </w:p>
        </w:tc>
      </w:tr>
      <w:tr w:rsidR="00A35617" w:rsidRPr="00A35617" w14:paraId="5C9551B7" w14:textId="77777777" w:rsidTr="00D06B33">
        <w:tc>
          <w:tcPr>
            <w:tcW w:w="2155" w:type="dxa"/>
          </w:tcPr>
          <w:p w14:paraId="1A98713D" w14:textId="782BBE9A" w:rsidR="00A35617" w:rsidRPr="00A35617" w:rsidRDefault="00A35617" w:rsidP="00AE67B9">
            <w:pPr>
              <w:spacing w:after="120"/>
              <w:rPr>
                <w:b/>
                <w:bCs/>
                <w:sz w:val="22"/>
                <w:szCs w:val="22"/>
              </w:rPr>
            </w:pPr>
            <w:r w:rsidRPr="00A35617">
              <w:rPr>
                <w:b/>
                <w:bCs/>
                <w:sz w:val="22"/>
                <w:szCs w:val="22"/>
              </w:rPr>
              <w:t>ABSL-4</w:t>
            </w:r>
          </w:p>
        </w:tc>
        <w:tc>
          <w:tcPr>
            <w:tcW w:w="7195" w:type="dxa"/>
            <w:gridSpan w:val="2"/>
          </w:tcPr>
          <w:p w14:paraId="6D5B2487" w14:textId="681E17F8" w:rsidR="00A35617" w:rsidRPr="00A35617" w:rsidRDefault="00A35617" w:rsidP="00A35617">
            <w:pPr>
              <w:tabs>
                <w:tab w:val="left" w:pos="1320"/>
              </w:tabs>
              <w:spacing w:after="120"/>
              <w:rPr>
                <w:b/>
                <w:bCs/>
                <w:sz w:val="22"/>
                <w:szCs w:val="22"/>
              </w:rPr>
            </w:pPr>
            <w:r w:rsidRPr="00A35617">
              <w:rPr>
                <w:b/>
                <w:bCs/>
                <w:sz w:val="22"/>
                <w:szCs w:val="22"/>
              </w:rPr>
              <w:t>No work at ABSL-4 is conducted at the University of North Dakota</w:t>
            </w:r>
          </w:p>
        </w:tc>
      </w:tr>
    </w:tbl>
    <w:p w14:paraId="3977EDDC" w14:textId="4E850F1A" w:rsidR="00FB0F15" w:rsidRPr="00124A89" w:rsidRDefault="00FB0F15" w:rsidP="0014205E">
      <w:pPr>
        <w:spacing w:after="120"/>
        <w:rPr>
          <w:b/>
          <w:bCs/>
          <w:sz w:val="28"/>
          <w:szCs w:val="28"/>
        </w:rPr>
      </w:pPr>
      <w:bookmarkStart w:id="18" w:name="S6LabAccess"/>
      <w:r w:rsidRPr="00124A89">
        <w:rPr>
          <w:b/>
          <w:bCs/>
          <w:sz w:val="28"/>
          <w:szCs w:val="28"/>
        </w:rPr>
        <w:lastRenderedPageBreak/>
        <w:t xml:space="preserve">SECTION </w:t>
      </w:r>
      <w:r w:rsidR="00737D63">
        <w:rPr>
          <w:b/>
          <w:bCs/>
          <w:sz w:val="28"/>
          <w:szCs w:val="28"/>
        </w:rPr>
        <w:t>6</w:t>
      </w:r>
      <w:r w:rsidRPr="00124A89">
        <w:rPr>
          <w:b/>
          <w:bCs/>
          <w:sz w:val="28"/>
          <w:szCs w:val="28"/>
        </w:rPr>
        <w:t xml:space="preserve">: LABORATORY ACCESS </w:t>
      </w:r>
    </w:p>
    <w:bookmarkEnd w:id="18"/>
    <w:p w14:paraId="42F27896" w14:textId="77777777" w:rsidR="00124A89" w:rsidRDefault="00124A89" w:rsidP="0014205E">
      <w:pPr>
        <w:spacing w:after="120"/>
        <w:rPr>
          <w:b/>
          <w:bCs/>
          <w:sz w:val="22"/>
          <w:szCs w:val="22"/>
        </w:rPr>
      </w:pPr>
    </w:p>
    <w:p w14:paraId="42AF5B41" w14:textId="54B51BA5" w:rsidR="00FB0F15" w:rsidRPr="00124A89" w:rsidRDefault="00FB0F15" w:rsidP="00124A89">
      <w:pPr>
        <w:spacing w:after="120" w:line="240" w:lineRule="auto"/>
        <w:rPr>
          <w:b/>
          <w:bCs/>
          <w:u w:val="single"/>
        </w:rPr>
      </w:pPr>
      <w:bookmarkStart w:id="19" w:name="Admittaance"/>
      <w:r w:rsidRPr="00124A89">
        <w:rPr>
          <w:b/>
          <w:bCs/>
          <w:u w:val="single"/>
        </w:rPr>
        <w:t>Admittance</w:t>
      </w:r>
      <w:bookmarkEnd w:id="19"/>
      <w:r w:rsidRPr="00124A89">
        <w:rPr>
          <w:b/>
          <w:bCs/>
          <w:u w:val="single"/>
        </w:rPr>
        <w:t xml:space="preserve"> </w:t>
      </w:r>
    </w:p>
    <w:p w14:paraId="6EE5BEF2" w14:textId="189F09CF" w:rsidR="00FB0F15" w:rsidRPr="00124A89" w:rsidRDefault="00FB0F15" w:rsidP="00124A89">
      <w:pPr>
        <w:spacing w:after="120" w:line="240" w:lineRule="auto"/>
        <w:rPr>
          <w:sz w:val="22"/>
          <w:szCs w:val="22"/>
        </w:rPr>
      </w:pPr>
      <w:r w:rsidRPr="00124A89">
        <w:rPr>
          <w:sz w:val="22"/>
          <w:szCs w:val="22"/>
        </w:rPr>
        <w:t xml:space="preserve">The PI or his/her designee enforces institutional policies that control safety in and access to the laboratory. </w:t>
      </w:r>
      <w:r w:rsidR="00353560" w:rsidRPr="00124A89">
        <w:rPr>
          <w:sz w:val="22"/>
          <w:szCs w:val="22"/>
        </w:rPr>
        <w:t>People</w:t>
      </w:r>
      <w:r w:rsidRPr="00124A89">
        <w:rPr>
          <w:sz w:val="22"/>
          <w:szCs w:val="22"/>
        </w:rPr>
        <w:t xml:space="preserve"> requesting to use the laboratory or equipment shall be advised of the potential hazards involved and shall follow all UND biosafety requirements. </w:t>
      </w:r>
    </w:p>
    <w:p w14:paraId="3A9256DB" w14:textId="77777777" w:rsidR="00FB0F15" w:rsidRPr="00124A89" w:rsidRDefault="00FB0F15" w:rsidP="00124A89">
      <w:pPr>
        <w:spacing w:after="120" w:line="240" w:lineRule="auto"/>
        <w:rPr>
          <w:sz w:val="22"/>
          <w:szCs w:val="22"/>
        </w:rPr>
      </w:pPr>
      <w:r w:rsidRPr="00124A89">
        <w:rPr>
          <w:sz w:val="22"/>
          <w:szCs w:val="22"/>
        </w:rPr>
        <w:t>Access to the laboratory is restricted when work with biohazardous materials is in progress, after hours, or when laboratory personnel are not available.</w:t>
      </w:r>
    </w:p>
    <w:p w14:paraId="4B245E66" w14:textId="77777777" w:rsidR="008569C9" w:rsidRDefault="008569C9" w:rsidP="00124A89">
      <w:pPr>
        <w:spacing w:after="120" w:line="240" w:lineRule="auto"/>
        <w:rPr>
          <w:b/>
          <w:bCs/>
          <w:u w:val="single"/>
        </w:rPr>
      </w:pPr>
    </w:p>
    <w:p w14:paraId="2434C69A" w14:textId="3699F3A2" w:rsidR="00FB0F15" w:rsidRPr="00124A89" w:rsidRDefault="00FB0F15" w:rsidP="00124A89">
      <w:pPr>
        <w:spacing w:after="120" w:line="240" w:lineRule="auto"/>
        <w:rPr>
          <w:b/>
          <w:bCs/>
          <w:u w:val="single"/>
        </w:rPr>
      </w:pPr>
      <w:bookmarkStart w:id="20" w:name="Security"/>
      <w:r w:rsidRPr="00124A89">
        <w:rPr>
          <w:b/>
          <w:bCs/>
          <w:u w:val="single"/>
        </w:rPr>
        <w:t>Security</w:t>
      </w:r>
      <w:bookmarkEnd w:id="20"/>
      <w:r w:rsidRPr="00124A89">
        <w:rPr>
          <w:b/>
          <w:bCs/>
          <w:u w:val="single"/>
        </w:rPr>
        <w:t xml:space="preserve"> </w:t>
      </w:r>
    </w:p>
    <w:p w14:paraId="69850561" w14:textId="6F1D6D86" w:rsidR="00FB0F15" w:rsidRPr="00124A89" w:rsidRDefault="00FB0F15" w:rsidP="00124A89">
      <w:pPr>
        <w:spacing w:after="120" w:line="240" w:lineRule="auto"/>
        <w:rPr>
          <w:sz w:val="22"/>
          <w:szCs w:val="22"/>
        </w:rPr>
      </w:pPr>
      <w:r w:rsidRPr="00124A89">
        <w:rPr>
          <w:sz w:val="22"/>
          <w:szCs w:val="22"/>
        </w:rPr>
        <w:t xml:space="preserve">Biohazardous organisms and toxins may be of interest to </w:t>
      </w:r>
      <w:r w:rsidR="00353560" w:rsidRPr="00124A89">
        <w:rPr>
          <w:sz w:val="22"/>
          <w:szCs w:val="22"/>
        </w:rPr>
        <w:t>people</w:t>
      </w:r>
      <w:r w:rsidRPr="00124A89">
        <w:rPr>
          <w:sz w:val="22"/>
          <w:szCs w:val="22"/>
        </w:rPr>
        <w:t xml:space="preserve"> or groups involved in terrorism or other illegal activities. These materials could pose a serious threat to humans, agriculture, or the livestock industry and must be kept </w:t>
      </w:r>
      <w:r w:rsidR="00124A89" w:rsidRPr="00124A89">
        <w:rPr>
          <w:sz w:val="22"/>
          <w:szCs w:val="22"/>
        </w:rPr>
        <w:t>secure</w:t>
      </w:r>
      <w:r w:rsidRPr="00124A89">
        <w:rPr>
          <w:sz w:val="22"/>
          <w:szCs w:val="22"/>
        </w:rPr>
        <w:t xml:space="preserve">. </w:t>
      </w:r>
    </w:p>
    <w:p w14:paraId="1DEB5968" w14:textId="77777777" w:rsidR="008569C9" w:rsidRDefault="008569C9" w:rsidP="00124A89">
      <w:pPr>
        <w:spacing w:after="120" w:line="240" w:lineRule="auto"/>
        <w:rPr>
          <w:b/>
          <w:bCs/>
          <w:u w:val="single"/>
        </w:rPr>
      </w:pPr>
    </w:p>
    <w:p w14:paraId="51F2C59A" w14:textId="4D465302" w:rsidR="00FB0F15" w:rsidRPr="00124A89" w:rsidRDefault="00FB0F15" w:rsidP="00124A89">
      <w:pPr>
        <w:spacing w:after="120" w:line="240" w:lineRule="auto"/>
        <w:rPr>
          <w:b/>
          <w:bCs/>
          <w:u w:val="single"/>
        </w:rPr>
      </w:pPr>
      <w:bookmarkStart w:id="21" w:name="Vaccinations"/>
      <w:r w:rsidRPr="00124A89">
        <w:rPr>
          <w:b/>
          <w:bCs/>
          <w:u w:val="single"/>
        </w:rPr>
        <w:t xml:space="preserve">Vaccinations (if applicable) </w:t>
      </w:r>
    </w:p>
    <w:bookmarkEnd w:id="21"/>
    <w:p w14:paraId="6BDE0127" w14:textId="7C97176B" w:rsidR="00FB0F15" w:rsidRPr="00124A89" w:rsidRDefault="00FB0F15" w:rsidP="00124A89">
      <w:pPr>
        <w:spacing w:after="120" w:line="240" w:lineRule="auto"/>
        <w:rPr>
          <w:sz w:val="22"/>
          <w:szCs w:val="22"/>
        </w:rPr>
      </w:pPr>
      <w:r w:rsidRPr="00124A89">
        <w:rPr>
          <w:sz w:val="22"/>
          <w:szCs w:val="22"/>
        </w:rPr>
        <w:t xml:space="preserve">Laboratory personnel must be provided with information regarding vaccines that may be available to protect them against laboratory-acquired infection. The PI or supervisory personnel may require immunization as a condition of employment. Vaccination information that should be provided to laboratory personnel </w:t>
      </w:r>
      <w:r w:rsidR="00124A89" w:rsidRPr="00124A89">
        <w:rPr>
          <w:sz w:val="22"/>
          <w:szCs w:val="22"/>
        </w:rPr>
        <w:t>includes</w:t>
      </w:r>
      <w:r w:rsidRPr="00124A89">
        <w:rPr>
          <w:sz w:val="22"/>
          <w:szCs w:val="22"/>
        </w:rPr>
        <w:t xml:space="preserve"> efficacy, side effects, booster schedule, etc. Vaccinations should be provided </w:t>
      </w:r>
      <w:r w:rsidR="00124A89" w:rsidRPr="00124A89">
        <w:rPr>
          <w:sz w:val="22"/>
          <w:szCs w:val="22"/>
        </w:rPr>
        <w:t>for</w:t>
      </w:r>
      <w:r w:rsidRPr="00124A89">
        <w:rPr>
          <w:sz w:val="22"/>
          <w:szCs w:val="22"/>
        </w:rPr>
        <w:t xml:space="preserve"> laboratory personnel free of charge and during working hours. Vaccinations are provided through Altru Occupational Health Services. Personal health status may impact an individual’s susceptibility to infection, ability to receive immunizations or prophylactic interventions. Therefore, all laboratory personnel should be provided with information regarding immune competence and conditions that may predispose them to infection. </w:t>
      </w:r>
    </w:p>
    <w:p w14:paraId="4F7CDB72" w14:textId="77777777" w:rsidR="008569C9" w:rsidRDefault="008569C9" w:rsidP="00124A89">
      <w:pPr>
        <w:spacing w:after="120" w:line="240" w:lineRule="auto"/>
        <w:rPr>
          <w:b/>
          <w:bCs/>
          <w:u w:val="single"/>
        </w:rPr>
      </w:pPr>
    </w:p>
    <w:p w14:paraId="146B4B1F" w14:textId="68D1B0E9" w:rsidR="00FB0F15" w:rsidRPr="00124A89" w:rsidRDefault="00FB0F15" w:rsidP="00124A89">
      <w:pPr>
        <w:spacing w:after="120" w:line="240" w:lineRule="auto"/>
        <w:rPr>
          <w:b/>
          <w:bCs/>
          <w:u w:val="single"/>
        </w:rPr>
      </w:pPr>
      <w:bookmarkStart w:id="22" w:name="RestrictionsorRecommendations"/>
      <w:r w:rsidRPr="00124A89">
        <w:rPr>
          <w:b/>
          <w:bCs/>
          <w:u w:val="single"/>
        </w:rPr>
        <w:t xml:space="preserve">Restrictions or Recommendations </w:t>
      </w:r>
    </w:p>
    <w:bookmarkEnd w:id="22"/>
    <w:p w14:paraId="476E2B74" w14:textId="77777777" w:rsidR="00610C66" w:rsidRPr="00124A89" w:rsidRDefault="00FB0F15" w:rsidP="00124A89">
      <w:pPr>
        <w:spacing w:after="120" w:line="240" w:lineRule="auto"/>
        <w:rPr>
          <w:sz w:val="22"/>
          <w:szCs w:val="22"/>
        </w:rPr>
      </w:pPr>
      <w:r w:rsidRPr="00124A89">
        <w:rPr>
          <w:sz w:val="22"/>
          <w:szCs w:val="22"/>
        </w:rPr>
        <w:t xml:space="preserve">Restrictions or recommendations will be made on an individual basis for entry or working within the lab. Examples of medical conditions that might warrant special precautions are HIV infection, immunosuppressive conditions, and drug therapies that suppress the immune system. Additionally, it is </w:t>
      </w:r>
      <w:r w:rsidR="00610C66" w:rsidRPr="00124A89">
        <w:rPr>
          <w:sz w:val="22"/>
          <w:szCs w:val="22"/>
        </w:rPr>
        <w:t xml:space="preserve">recognized that exposure to certain infectious agents may adversely affect a fetus during pregnancy if the mother is infected with the agent, or personnel of childbearing age. Laboratory personnel, who fall into any of the above conditions, should inform their personal physician and the PI about the situation. </w:t>
      </w:r>
    </w:p>
    <w:p w14:paraId="6388E560" w14:textId="77777777" w:rsidR="008569C9" w:rsidRDefault="008569C9" w:rsidP="00124A89">
      <w:pPr>
        <w:spacing w:after="120" w:line="240" w:lineRule="auto"/>
        <w:rPr>
          <w:b/>
          <w:bCs/>
          <w:u w:val="single"/>
        </w:rPr>
      </w:pPr>
    </w:p>
    <w:p w14:paraId="71C45CA4" w14:textId="03FB8779" w:rsidR="00610C66" w:rsidRPr="00124A89" w:rsidRDefault="00610C66" w:rsidP="00124A89">
      <w:pPr>
        <w:spacing w:after="120" w:line="240" w:lineRule="auto"/>
        <w:rPr>
          <w:b/>
          <w:bCs/>
          <w:u w:val="single"/>
        </w:rPr>
      </w:pPr>
      <w:bookmarkStart w:id="23" w:name="BiosafetyTraining"/>
      <w:r w:rsidRPr="00124A89">
        <w:rPr>
          <w:b/>
          <w:bCs/>
          <w:u w:val="single"/>
        </w:rPr>
        <w:t xml:space="preserve">Biosafety Training </w:t>
      </w:r>
    </w:p>
    <w:bookmarkEnd w:id="23"/>
    <w:p w14:paraId="7928FF81" w14:textId="77777777" w:rsidR="00610C66" w:rsidRPr="00124A89" w:rsidRDefault="00610C66" w:rsidP="00124A89">
      <w:pPr>
        <w:spacing w:after="120" w:line="240" w:lineRule="auto"/>
        <w:rPr>
          <w:sz w:val="22"/>
          <w:szCs w:val="22"/>
        </w:rPr>
      </w:pPr>
      <w:r w:rsidRPr="00124A89">
        <w:rPr>
          <w:sz w:val="22"/>
          <w:szCs w:val="22"/>
        </w:rPr>
        <w:t xml:space="preserve">It is the direct responsibility of the PI or supervisory personnel to initially instruct new laboratory personnel of the safety procedures used in the laboratory. The PI is responsible for ensuring all laboratory personnel exhibit competency in good microbiological techniques prior to initiating </w:t>
      </w:r>
      <w:r w:rsidRPr="00124A89">
        <w:rPr>
          <w:sz w:val="22"/>
          <w:szCs w:val="22"/>
        </w:rPr>
        <w:lastRenderedPageBreak/>
        <w:t xml:space="preserve">experiments. This includes a thorough review of the appropriate operating procedures of the laboratory. </w:t>
      </w:r>
    </w:p>
    <w:p w14:paraId="22DC5E23" w14:textId="0A8F6488" w:rsidR="00610C66" w:rsidRPr="00124A89" w:rsidRDefault="00610C66" w:rsidP="000A313A">
      <w:pPr>
        <w:pStyle w:val="ListParagraph"/>
        <w:numPr>
          <w:ilvl w:val="0"/>
          <w:numId w:val="43"/>
        </w:numPr>
        <w:spacing w:after="120" w:line="240" w:lineRule="auto"/>
        <w:rPr>
          <w:sz w:val="22"/>
          <w:szCs w:val="22"/>
        </w:rPr>
      </w:pPr>
      <w:r w:rsidRPr="00124A89">
        <w:rPr>
          <w:sz w:val="22"/>
          <w:szCs w:val="22"/>
        </w:rPr>
        <w:t>For information regarding available training courses contact the Office of Safety (</w:t>
      </w:r>
      <w:hyperlink r:id="rId30" w:history="1">
        <w:r w:rsidRPr="00580E70">
          <w:rPr>
            <w:rStyle w:val="Hyperlink"/>
            <w:color w:val="215E99" w:themeColor="text2" w:themeTint="BF"/>
            <w:sz w:val="22"/>
            <w:szCs w:val="22"/>
          </w:rPr>
          <w:t>UND.safety@UND.edu</w:t>
        </w:r>
      </w:hyperlink>
      <w:r w:rsidRPr="00124A89">
        <w:rPr>
          <w:sz w:val="22"/>
          <w:szCs w:val="22"/>
        </w:rPr>
        <w:t xml:space="preserve"> or 701.777.3341)</w:t>
      </w:r>
    </w:p>
    <w:p w14:paraId="483C117B" w14:textId="3B3439B5" w:rsidR="00610C66" w:rsidRPr="00124A89" w:rsidRDefault="00610C66" w:rsidP="000A313A">
      <w:pPr>
        <w:pStyle w:val="ListParagraph"/>
        <w:numPr>
          <w:ilvl w:val="0"/>
          <w:numId w:val="43"/>
        </w:numPr>
        <w:spacing w:after="120" w:line="240" w:lineRule="auto"/>
        <w:rPr>
          <w:sz w:val="22"/>
          <w:szCs w:val="22"/>
        </w:rPr>
      </w:pPr>
      <w:r w:rsidRPr="00124A89">
        <w:rPr>
          <w:sz w:val="22"/>
          <w:szCs w:val="22"/>
        </w:rPr>
        <w:t xml:space="preserve">UND laboratory personnel who may reasonably anticipate contact with human blood, blood products, tissues, </w:t>
      </w:r>
      <w:r w:rsidR="00B267E9" w:rsidRPr="00124A89">
        <w:rPr>
          <w:sz w:val="22"/>
          <w:szCs w:val="22"/>
        </w:rPr>
        <w:t>fluids,</w:t>
      </w:r>
      <w:r w:rsidRPr="00124A89">
        <w:rPr>
          <w:sz w:val="22"/>
          <w:szCs w:val="22"/>
        </w:rPr>
        <w:t xml:space="preserve"> or </w:t>
      </w:r>
      <w:r w:rsidR="005052F3">
        <w:rPr>
          <w:sz w:val="22"/>
          <w:szCs w:val="22"/>
        </w:rPr>
        <w:t>other potentially infectious materials (OPIM)</w:t>
      </w:r>
      <w:r w:rsidRPr="00124A89">
        <w:rPr>
          <w:sz w:val="22"/>
          <w:szCs w:val="22"/>
        </w:rPr>
        <w:t xml:space="preserve">, including human cell lines during the performance of their </w:t>
      </w:r>
      <w:r w:rsidR="006C37EA" w:rsidRPr="00124A89">
        <w:rPr>
          <w:sz w:val="22"/>
          <w:szCs w:val="22"/>
        </w:rPr>
        <w:t>duties,</w:t>
      </w:r>
      <w:r w:rsidRPr="00124A89">
        <w:rPr>
          <w:sz w:val="22"/>
          <w:szCs w:val="22"/>
        </w:rPr>
        <w:t xml:space="preserve"> must complete annual Bloodborne Pathogens training. Training is available online through Vector</w:t>
      </w:r>
      <w:r w:rsidR="008569C9">
        <w:rPr>
          <w:sz w:val="22"/>
          <w:szCs w:val="22"/>
        </w:rPr>
        <w:t xml:space="preserve"> </w:t>
      </w:r>
      <w:r w:rsidRPr="00124A89">
        <w:rPr>
          <w:sz w:val="22"/>
          <w:szCs w:val="22"/>
        </w:rPr>
        <w:t>Solutions.</w:t>
      </w:r>
    </w:p>
    <w:p w14:paraId="6E4C5CF0" w14:textId="7D018D2F" w:rsidR="00610C66" w:rsidRPr="00124A89" w:rsidRDefault="00610C66" w:rsidP="000A313A">
      <w:pPr>
        <w:pStyle w:val="ListParagraph"/>
        <w:numPr>
          <w:ilvl w:val="0"/>
          <w:numId w:val="43"/>
        </w:numPr>
        <w:spacing w:after="120" w:line="240" w:lineRule="auto"/>
        <w:rPr>
          <w:sz w:val="22"/>
          <w:szCs w:val="22"/>
        </w:rPr>
      </w:pPr>
      <w:r w:rsidRPr="00124A89">
        <w:rPr>
          <w:sz w:val="22"/>
          <w:szCs w:val="22"/>
        </w:rPr>
        <w:t xml:space="preserve">Lab personnel must receive lab specific training </w:t>
      </w:r>
      <w:r w:rsidR="00580E70" w:rsidRPr="00124A89">
        <w:rPr>
          <w:sz w:val="22"/>
          <w:szCs w:val="22"/>
        </w:rPr>
        <w:t>from</w:t>
      </w:r>
      <w:r w:rsidRPr="00124A89">
        <w:rPr>
          <w:sz w:val="22"/>
          <w:szCs w:val="22"/>
        </w:rPr>
        <w:t xml:space="preserve"> the lab director, lab manager or other designee. This training must be documented in detail and should include topics such </w:t>
      </w:r>
      <w:r w:rsidR="003F6E97" w:rsidRPr="00124A89">
        <w:rPr>
          <w:sz w:val="22"/>
          <w:szCs w:val="22"/>
        </w:rPr>
        <w:t>as</w:t>
      </w:r>
      <w:r w:rsidRPr="00124A89">
        <w:rPr>
          <w:sz w:val="22"/>
          <w:szCs w:val="22"/>
        </w:rPr>
        <w:t xml:space="preserve"> agent specific training, use of equipment, lab experimental procedures, use of rDNA and viral vectors, etc. </w:t>
      </w:r>
    </w:p>
    <w:p w14:paraId="7E123DF5" w14:textId="77777777" w:rsidR="00610C66" w:rsidRPr="00124A89" w:rsidRDefault="00610C66" w:rsidP="000A313A">
      <w:pPr>
        <w:pStyle w:val="ListParagraph"/>
        <w:numPr>
          <w:ilvl w:val="0"/>
          <w:numId w:val="43"/>
        </w:numPr>
        <w:spacing w:after="120" w:line="240" w:lineRule="auto"/>
        <w:rPr>
          <w:sz w:val="22"/>
          <w:szCs w:val="22"/>
        </w:rPr>
      </w:pPr>
      <w:r w:rsidRPr="00124A89">
        <w:rPr>
          <w:sz w:val="22"/>
          <w:szCs w:val="22"/>
        </w:rPr>
        <w:t>Lab specific training documentation and SOPs should be reviewed annually.</w:t>
      </w:r>
    </w:p>
    <w:p w14:paraId="21C9AA06" w14:textId="77777777" w:rsidR="003F6E97" w:rsidRPr="00124A89" w:rsidRDefault="00610C66" w:rsidP="000A313A">
      <w:pPr>
        <w:pStyle w:val="ListParagraph"/>
        <w:numPr>
          <w:ilvl w:val="0"/>
          <w:numId w:val="43"/>
        </w:numPr>
        <w:spacing w:after="120" w:line="240" w:lineRule="auto"/>
        <w:rPr>
          <w:sz w:val="22"/>
          <w:szCs w:val="22"/>
        </w:rPr>
      </w:pPr>
      <w:r w:rsidRPr="00124A89">
        <w:rPr>
          <w:sz w:val="22"/>
          <w:szCs w:val="22"/>
        </w:rPr>
        <w:t xml:space="preserve">Laboratory personnel must have prior experience with the agent in use or must be provided with suitable and sufficient information, instruction, and training about working with the agent prior to initiating work. </w:t>
      </w:r>
    </w:p>
    <w:p w14:paraId="5734D047" w14:textId="0C1941A9" w:rsidR="00FB0F15" w:rsidRPr="00124A89" w:rsidRDefault="00610C66" w:rsidP="000A313A">
      <w:pPr>
        <w:pStyle w:val="ListParagraph"/>
        <w:numPr>
          <w:ilvl w:val="0"/>
          <w:numId w:val="43"/>
        </w:numPr>
        <w:spacing w:after="120" w:line="240" w:lineRule="auto"/>
        <w:rPr>
          <w:sz w:val="22"/>
          <w:szCs w:val="22"/>
        </w:rPr>
      </w:pPr>
      <w:r w:rsidRPr="00124A89">
        <w:rPr>
          <w:sz w:val="22"/>
          <w:szCs w:val="22"/>
        </w:rPr>
        <w:t xml:space="preserve">New laboratory personnel must review the Biosafety Manual and associated </w:t>
      </w:r>
      <w:r w:rsidR="003F6E97" w:rsidRPr="00124A89">
        <w:rPr>
          <w:sz w:val="22"/>
          <w:szCs w:val="22"/>
        </w:rPr>
        <w:t>safety trainings</w:t>
      </w:r>
      <w:r w:rsidRPr="00124A89">
        <w:rPr>
          <w:sz w:val="22"/>
          <w:szCs w:val="22"/>
        </w:rPr>
        <w:t xml:space="preserve"> prior to starting work in the laboratory.</w:t>
      </w:r>
    </w:p>
    <w:p w14:paraId="7C00CDAC" w14:textId="77777777" w:rsidR="00124A89" w:rsidRDefault="00124A89" w:rsidP="00124A89">
      <w:pPr>
        <w:spacing w:after="120" w:line="240" w:lineRule="auto"/>
        <w:rPr>
          <w:sz w:val="22"/>
          <w:szCs w:val="22"/>
        </w:rPr>
      </w:pPr>
    </w:p>
    <w:p w14:paraId="4B156CD0" w14:textId="77777777" w:rsidR="00AC3A48" w:rsidRDefault="00AC3A48">
      <w:pPr>
        <w:rPr>
          <w:b/>
          <w:bCs/>
          <w:sz w:val="28"/>
          <w:szCs w:val="28"/>
        </w:rPr>
      </w:pPr>
      <w:r>
        <w:rPr>
          <w:b/>
          <w:bCs/>
          <w:sz w:val="28"/>
          <w:szCs w:val="28"/>
        </w:rPr>
        <w:br w:type="page"/>
      </w:r>
    </w:p>
    <w:p w14:paraId="2606E1EC" w14:textId="003D4F3C" w:rsidR="003F6E97" w:rsidRPr="00124A89" w:rsidRDefault="003F6E97" w:rsidP="00124A89">
      <w:pPr>
        <w:spacing w:after="120" w:line="240" w:lineRule="auto"/>
        <w:rPr>
          <w:b/>
          <w:bCs/>
          <w:sz w:val="28"/>
          <w:szCs w:val="28"/>
        </w:rPr>
      </w:pPr>
      <w:bookmarkStart w:id="24" w:name="S7ControlstoReduceExposure"/>
      <w:r w:rsidRPr="00124A89">
        <w:rPr>
          <w:b/>
          <w:bCs/>
          <w:sz w:val="28"/>
          <w:szCs w:val="28"/>
        </w:rPr>
        <w:lastRenderedPageBreak/>
        <w:t xml:space="preserve">SECTION </w:t>
      </w:r>
      <w:r w:rsidR="00737D63">
        <w:rPr>
          <w:b/>
          <w:bCs/>
          <w:sz w:val="28"/>
          <w:szCs w:val="28"/>
        </w:rPr>
        <w:t>7</w:t>
      </w:r>
      <w:r w:rsidRPr="00124A89">
        <w:rPr>
          <w:b/>
          <w:bCs/>
          <w:sz w:val="28"/>
          <w:szCs w:val="28"/>
        </w:rPr>
        <w:t>: CONTROLS TO REDUCE EXPOSURES</w:t>
      </w:r>
    </w:p>
    <w:bookmarkEnd w:id="24"/>
    <w:p w14:paraId="20619746" w14:textId="77777777" w:rsidR="00124A89" w:rsidRDefault="00124A89" w:rsidP="00124A89">
      <w:pPr>
        <w:spacing w:after="120" w:line="240" w:lineRule="auto"/>
        <w:rPr>
          <w:sz w:val="22"/>
          <w:szCs w:val="22"/>
        </w:rPr>
      </w:pPr>
    </w:p>
    <w:p w14:paraId="294CE81F" w14:textId="77777777" w:rsidR="000A313A" w:rsidRPr="000A313A" w:rsidRDefault="000A313A" w:rsidP="000A313A">
      <w:pPr>
        <w:rPr>
          <w:b/>
          <w:bCs/>
        </w:rPr>
      </w:pPr>
      <w:r w:rsidRPr="000A313A">
        <w:rPr>
          <w:b/>
          <w:bCs/>
        </w:rPr>
        <w:t>Workplace Practice Controls</w:t>
      </w:r>
    </w:p>
    <w:p w14:paraId="0671C322" w14:textId="77777777" w:rsidR="000A313A" w:rsidRPr="00124A89" w:rsidRDefault="000A313A" w:rsidP="000A313A">
      <w:pPr>
        <w:rPr>
          <w:sz w:val="22"/>
          <w:szCs w:val="22"/>
        </w:rPr>
      </w:pPr>
      <w:r w:rsidRPr="00124A89">
        <w:rPr>
          <w:sz w:val="22"/>
          <w:szCs w:val="22"/>
        </w:rPr>
        <w:t>All personnel must routinely use appropriate controls when handling biohazards. These include:</w:t>
      </w:r>
    </w:p>
    <w:p w14:paraId="5557A8F8" w14:textId="77777777" w:rsidR="000A313A" w:rsidRPr="00F46577" w:rsidRDefault="000A313A" w:rsidP="000A313A">
      <w:pPr>
        <w:pStyle w:val="ListParagraph"/>
        <w:numPr>
          <w:ilvl w:val="0"/>
          <w:numId w:val="47"/>
        </w:numPr>
        <w:rPr>
          <w:sz w:val="22"/>
          <w:szCs w:val="22"/>
        </w:rPr>
      </w:pPr>
      <w:r w:rsidRPr="00F46577">
        <w:rPr>
          <w:sz w:val="22"/>
          <w:szCs w:val="22"/>
        </w:rPr>
        <w:t>Engineering Controls/Primary Barriers are physical containment measures placed directly at the level of the hazard (e.g., biological safety cabinets, enclosed containers, centrifuge safety cups). Selection of the type of primary barrier should be based on the risk assessment.</w:t>
      </w:r>
    </w:p>
    <w:p w14:paraId="1EFA2616" w14:textId="327D625B" w:rsidR="000A313A" w:rsidRPr="00F46577" w:rsidRDefault="000A313A" w:rsidP="000A313A">
      <w:pPr>
        <w:pStyle w:val="ListParagraph"/>
        <w:numPr>
          <w:ilvl w:val="0"/>
          <w:numId w:val="47"/>
        </w:numPr>
        <w:rPr>
          <w:sz w:val="22"/>
          <w:szCs w:val="22"/>
        </w:rPr>
      </w:pPr>
      <w:r w:rsidRPr="00F46577">
        <w:rPr>
          <w:sz w:val="22"/>
          <w:szCs w:val="22"/>
        </w:rPr>
        <w:t xml:space="preserve">Secondary Barriers are the design and construction features of the laboratory facility (e.g., ventilation system, access control, self-closing doors). Combined with other safety controls help to provide personnel, </w:t>
      </w:r>
      <w:r w:rsidR="00FB4165" w:rsidRPr="00F46577">
        <w:rPr>
          <w:sz w:val="22"/>
          <w:szCs w:val="22"/>
        </w:rPr>
        <w:t>products,</w:t>
      </w:r>
      <w:r w:rsidR="00FB4165">
        <w:rPr>
          <w:sz w:val="22"/>
          <w:szCs w:val="22"/>
        </w:rPr>
        <w:t xml:space="preserve"> </w:t>
      </w:r>
      <w:r w:rsidR="00FB4165" w:rsidRPr="00F46577">
        <w:rPr>
          <w:sz w:val="22"/>
          <w:szCs w:val="22"/>
        </w:rPr>
        <w:t>and</w:t>
      </w:r>
      <w:r w:rsidRPr="00F46577">
        <w:rPr>
          <w:sz w:val="22"/>
          <w:szCs w:val="22"/>
        </w:rPr>
        <w:t xml:space="preserve"> environmental protection.</w:t>
      </w:r>
    </w:p>
    <w:p w14:paraId="7D93D45C" w14:textId="77777777" w:rsidR="000A313A" w:rsidRPr="00F46577" w:rsidRDefault="000A313A" w:rsidP="000A313A">
      <w:pPr>
        <w:pStyle w:val="ListParagraph"/>
        <w:numPr>
          <w:ilvl w:val="0"/>
          <w:numId w:val="47"/>
        </w:numPr>
        <w:rPr>
          <w:sz w:val="22"/>
          <w:szCs w:val="22"/>
        </w:rPr>
      </w:pPr>
      <w:r w:rsidRPr="00F46577">
        <w:rPr>
          <w:sz w:val="22"/>
          <w:szCs w:val="22"/>
        </w:rPr>
        <w:t>Sink is required for immediate handwashing.</w:t>
      </w:r>
    </w:p>
    <w:p w14:paraId="06168730" w14:textId="4EECA2CE" w:rsidR="000A313A" w:rsidRPr="000A313A" w:rsidRDefault="000A313A" w:rsidP="000A313A">
      <w:pPr>
        <w:pStyle w:val="ListParagraph"/>
        <w:numPr>
          <w:ilvl w:val="0"/>
          <w:numId w:val="47"/>
        </w:numPr>
        <w:rPr>
          <w:sz w:val="22"/>
          <w:szCs w:val="22"/>
        </w:rPr>
      </w:pPr>
      <w:r w:rsidRPr="00F46577">
        <w:rPr>
          <w:sz w:val="22"/>
          <w:szCs w:val="22"/>
        </w:rPr>
        <w:t>Emergency eyewash is readily available in the laboratory.</w:t>
      </w:r>
    </w:p>
    <w:p w14:paraId="011F8420" w14:textId="77777777" w:rsidR="000A313A" w:rsidRDefault="000A313A" w:rsidP="00124A89">
      <w:pPr>
        <w:rPr>
          <w:b/>
          <w:bCs/>
          <w:u w:val="single"/>
        </w:rPr>
      </w:pPr>
    </w:p>
    <w:p w14:paraId="7592CB1F" w14:textId="672E9538" w:rsidR="003F6E97" w:rsidRPr="00124A89" w:rsidRDefault="003F6E97" w:rsidP="00124A89">
      <w:pPr>
        <w:rPr>
          <w:b/>
          <w:bCs/>
          <w:u w:val="single"/>
        </w:rPr>
      </w:pPr>
      <w:bookmarkStart w:id="25" w:name="NegativePressure"/>
      <w:r w:rsidRPr="00124A89">
        <w:rPr>
          <w:b/>
          <w:bCs/>
          <w:u w:val="single"/>
        </w:rPr>
        <w:t>Negative Pressure</w:t>
      </w:r>
    </w:p>
    <w:bookmarkEnd w:id="25"/>
    <w:p w14:paraId="674CECAD" w14:textId="46632633" w:rsidR="003F6E97" w:rsidRPr="00124A89" w:rsidRDefault="003F6E97" w:rsidP="00124A89">
      <w:pPr>
        <w:rPr>
          <w:sz w:val="22"/>
          <w:szCs w:val="22"/>
        </w:rPr>
      </w:pPr>
      <w:r w:rsidRPr="00124A89">
        <w:rPr>
          <w:sz w:val="22"/>
          <w:szCs w:val="22"/>
        </w:rPr>
        <w:t>In general, a separate room provides a higher level of containment for working with biohazardous materials. Mechanical ventilation should provide an inward flow of air (negative pressure) without recirculation to spaces beyond the laboratory. The Office of Safety will verify air pressurization during inspections.</w:t>
      </w:r>
    </w:p>
    <w:p w14:paraId="2D66E7E0" w14:textId="77777777" w:rsidR="000A313A" w:rsidRDefault="000A313A" w:rsidP="00124A89">
      <w:pPr>
        <w:rPr>
          <w:b/>
          <w:bCs/>
          <w:u w:val="single"/>
        </w:rPr>
      </w:pPr>
    </w:p>
    <w:p w14:paraId="0D208D54" w14:textId="311C7FFD" w:rsidR="003F6E97" w:rsidRPr="00124A89" w:rsidRDefault="003F6E97" w:rsidP="00124A89">
      <w:pPr>
        <w:rPr>
          <w:b/>
          <w:bCs/>
          <w:u w:val="single"/>
        </w:rPr>
      </w:pPr>
      <w:bookmarkStart w:id="26" w:name="Benchtopss"/>
      <w:r w:rsidRPr="00124A89">
        <w:rPr>
          <w:b/>
          <w:bCs/>
          <w:u w:val="single"/>
        </w:rPr>
        <w:t>Bench Tops</w:t>
      </w:r>
    </w:p>
    <w:bookmarkEnd w:id="26"/>
    <w:p w14:paraId="3EE66654" w14:textId="5919869D" w:rsidR="003F6E97" w:rsidRPr="00124A89" w:rsidRDefault="003F6E97" w:rsidP="00124A89">
      <w:pPr>
        <w:rPr>
          <w:sz w:val="22"/>
          <w:szCs w:val="22"/>
        </w:rPr>
      </w:pPr>
      <w:r w:rsidRPr="00124A89">
        <w:rPr>
          <w:sz w:val="22"/>
          <w:szCs w:val="22"/>
        </w:rPr>
        <w:t>Bench tops should be impervious to water and resistant to acids, alkalis, organic solvents, and moderate heat. The work areas should be kept clean and dust free to prevent contamination of samples and laboratory-acquired infections.</w:t>
      </w:r>
    </w:p>
    <w:p w14:paraId="5514EA22" w14:textId="77777777" w:rsidR="000A313A" w:rsidRDefault="000A313A" w:rsidP="00124A89">
      <w:pPr>
        <w:rPr>
          <w:b/>
          <w:bCs/>
          <w:u w:val="single"/>
        </w:rPr>
      </w:pPr>
    </w:p>
    <w:p w14:paraId="20329343" w14:textId="5FDA4EFB" w:rsidR="003F6E97" w:rsidRPr="00124A89" w:rsidRDefault="003F6E97" w:rsidP="00124A89">
      <w:pPr>
        <w:rPr>
          <w:b/>
          <w:bCs/>
          <w:u w:val="single"/>
        </w:rPr>
      </w:pPr>
      <w:bookmarkStart w:id="27" w:name="LabFurniture"/>
      <w:r w:rsidRPr="00124A89">
        <w:rPr>
          <w:b/>
          <w:bCs/>
          <w:u w:val="single"/>
        </w:rPr>
        <w:t>Laboratory Furniture</w:t>
      </w:r>
    </w:p>
    <w:bookmarkEnd w:id="27"/>
    <w:p w14:paraId="06ED04AF" w14:textId="6988C728" w:rsidR="003F6E97" w:rsidRPr="00124A89" w:rsidRDefault="003F6E97" w:rsidP="00124A89">
      <w:pPr>
        <w:rPr>
          <w:sz w:val="22"/>
          <w:szCs w:val="22"/>
        </w:rPr>
      </w:pPr>
      <w:r w:rsidRPr="00124A89">
        <w:rPr>
          <w:sz w:val="22"/>
          <w:szCs w:val="22"/>
        </w:rPr>
        <w:t>Laboratory furniture should be capable of withstanding anticipated loading and uses. Spaces between benches, cabinets, and equipment should be accessible for cleaning. Chairs and other furniture used in laboratory work must be covered with non-fabric material that can be easily decontaminated. Carpets and rugs in laboratories are not appropriate.</w:t>
      </w:r>
    </w:p>
    <w:p w14:paraId="6DDB372B" w14:textId="77777777" w:rsidR="000A313A" w:rsidRDefault="000A313A" w:rsidP="00124A89">
      <w:pPr>
        <w:rPr>
          <w:b/>
          <w:bCs/>
          <w:u w:val="single"/>
        </w:rPr>
      </w:pPr>
    </w:p>
    <w:p w14:paraId="161DBB05" w14:textId="1E66EE93" w:rsidR="003F6E97" w:rsidRPr="000A313A" w:rsidRDefault="003F6E97" w:rsidP="00124A89">
      <w:pPr>
        <w:rPr>
          <w:b/>
          <w:bCs/>
          <w:u w:val="single"/>
        </w:rPr>
      </w:pPr>
      <w:bookmarkStart w:id="28" w:name="PPE"/>
      <w:r w:rsidRPr="000A313A">
        <w:rPr>
          <w:b/>
          <w:bCs/>
          <w:u w:val="single"/>
        </w:rPr>
        <w:t>Personal Protective Equipment</w:t>
      </w:r>
    </w:p>
    <w:bookmarkEnd w:id="28"/>
    <w:p w14:paraId="24EDF56D" w14:textId="7CDA87FA" w:rsidR="003F6E97" w:rsidRPr="00124A89" w:rsidRDefault="003F6E97" w:rsidP="00124A89">
      <w:pPr>
        <w:rPr>
          <w:sz w:val="22"/>
          <w:szCs w:val="22"/>
        </w:rPr>
      </w:pPr>
      <w:r w:rsidRPr="00124A89">
        <w:rPr>
          <w:sz w:val="22"/>
          <w:szCs w:val="22"/>
        </w:rPr>
        <w:t xml:space="preserve">Personal Protective Equipment (PPE) should be selected in accordance with the hazards identified. The minimum level of PPE when working in biological laboratories should include lab coats, safety </w:t>
      </w:r>
      <w:r w:rsidRPr="00124A89">
        <w:rPr>
          <w:sz w:val="22"/>
          <w:szCs w:val="22"/>
        </w:rPr>
        <w:lastRenderedPageBreak/>
        <w:t xml:space="preserve">glasses, and appropriate gloves. Alternatives to latex gloves should be available. Lab coats should not be taken home for laundering. UND Laundry and professional laundering services are available. </w:t>
      </w:r>
    </w:p>
    <w:tbl>
      <w:tblPr>
        <w:tblStyle w:val="TableGrid"/>
        <w:tblW w:w="0" w:type="auto"/>
        <w:tblLook w:val="04A0" w:firstRow="1" w:lastRow="0" w:firstColumn="1" w:lastColumn="0" w:noHBand="0" w:noVBand="1"/>
      </w:tblPr>
      <w:tblGrid>
        <w:gridCol w:w="2335"/>
        <w:gridCol w:w="7015"/>
      </w:tblGrid>
      <w:tr w:rsidR="003F6E97" w:rsidRPr="0014205E" w14:paraId="60305DB6" w14:textId="77777777" w:rsidTr="006F6990">
        <w:trPr>
          <w:tblHeader/>
        </w:trPr>
        <w:tc>
          <w:tcPr>
            <w:tcW w:w="9350" w:type="dxa"/>
            <w:gridSpan w:val="2"/>
            <w:shd w:val="clear" w:color="auto" w:fill="59A56D"/>
          </w:tcPr>
          <w:p w14:paraId="2EDFF114" w14:textId="377674DF" w:rsidR="003F6E97" w:rsidRPr="006F6990" w:rsidRDefault="003F6E97" w:rsidP="0014205E">
            <w:pPr>
              <w:spacing w:after="120"/>
              <w:jc w:val="center"/>
              <w:rPr>
                <w:b/>
                <w:bCs/>
                <w:color w:val="FFFFFF" w:themeColor="background1"/>
                <w:sz w:val="22"/>
                <w:szCs w:val="22"/>
              </w:rPr>
            </w:pPr>
            <w:r w:rsidRPr="006F6990">
              <w:rPr>
                <w:b/>
                <w:bCs/>
                <w:color w:val="FFFFFF" w:themeColor="background1"/>
                <w:sz w:val="22"/>
                <w:szCs w:val="22"/>
              </w:rPr>
              <w:t>ADDITIONAL PPE</w:t>
            </w:r>
          </w:p>
        </w:tc>
      </w:tr>
      <w:tr w:rsidR="003F6E97" w:rsidRPr="0014205E" w14:paraId="01C23B6C" w14:textId="77777777" w:rsidTr="006F6990">
        <w:trPr>
          <w:tblHeader/>
        </w:trPr>
        <w:tc>
          <w:tcPr>
            <w:tcW w:w="2335" w:type="dxa"/>
            <w:shd w:val="clear" w:color="auto" w:fill="59A56D"/>
          </w:tcPr>
          <w:p w14:paraId="3A87F9F7" w14:textId="5137995F" w:rsidR="003F6E97" w:rsidRPr="006F6990" w:rsidRDefault="003F6E97" w:rsidP="0014205E">
            <w:pPr>
              <w:spacing w:after="120"/>
              <w:jc w:val="center"/>
              <w:rPr>
                <w:b/>
                <w:bCs/>
                <w:color w:val="FFFFFF" w:themeColor="background1"/>
                <w:sz w:val="22"/>
                <w:szCs w:val="22"/>
              </w:rPr>
            </w:pPr>
            <w:r w:rsidRPr="006F6990">
              <w:rPr>
                <w:b/>
                <w:bCs/>
                <w:color w:val="FFFFFF" w:themeColor="background1"/>
                <w:sz w:val="22"/>
                <w:szCs w:val="22"/>
              </w:rPr>
              <w:t>PPE</w:t>
            </w:r>
          </w:p>
        </w:tc>
        <w:tc>
          <w:tcPr>
            <w:tcW w:w="7015" w:type="dxa"/>
            <w:shd w:val="clear" w:color="auto" w:fill="59A56D"/>
          </w:tcPr>
          <w:p w14:paraId="0D8D5352" w14:textId="1207D308" w:rsidR="003F6E97" w:rsidRPr="006F6990" w:rsidRDefault="003F6E97" w:rsidP="0014205E">
            <w:pPr>
              <w:spacing w:after="120"/>
              <w:jc w:val="center"/>
              <w:rPr>
                <w:b/>
                <w:bCs/>
                <w:color w:val="FFFFFF" w:themeColor="background1"/>
                <w:sz w:val="22"/>
                <w:szCs w:val="22"/>
              </w:rPr>
            </w:pPr>
            <w:r w:rsidRPr="006F6990">
              <w:rPr>
                <w:b/>
                <w:bCs/>
                <w:color w:val="FFFFFF" w:themeColor="background1"/>
                <w:sz w:val="22"/>
                <w:szCs w:val="22"/>
              </w:rPr>
              <w:t>Description</w:t>
            </w:r>
          </w:p>
        </w:tc>
      </w:tr>
      <w:tr w:rsidR="003F6E97" w:rsidRPr="0014205E" w14:paraId="1A75F697" w14:textId="77777777" w:rsidTr="00E3323A">
        <w:tc>
          <w:tcPr>
            <w:tcW w:w="2335" w:type="dxa"/>
          </w:tcPr>
          <w:p w14:paraId="136E4E6B" w14:textId="363A2353" w:rsidR="003F6E97" w:rsidRPr="0014205E" w:rsidRDefault="003F6E97" w:rsidP="0014205E">
            <w:pPr>
              <w:spacing w:after="120"/>
              <w:rPr>
                <w:sz w:val="22"/>
                <w:szCs w:val="22"/>
              </w:rPr>
            </w:pPr>
            <w:r w:rsidRPr="0014205E">
              <w:rPr>
                <w:sz w:val="22"/>
                <w:szCs w:val="22"/>
              </w:rPr>
              <w:t>Hair Bonnet</w:t>
            </w:r>
          </w:p>
        </w:tc>
        <w:tc>
          <w:tcPr>
            <w:tcW w:w="7015" w:type="dxa"/>
          </w:tcPr>
          <w:p w14:paraId="09C30A7C" w14:textId="746E8FC2" w:rsidR="003F6E97" w:rsidRPr="0014205E" w:rsidRDefault="00E3323A" w:rsidP="0014205E">
            <w:pPr>
              <w:spacing w:after="120"/>
              <w:rPr>
                <w:sz w:val="22"/>
                <w:szCs w:val="22"/>
              </w:rPr>
            </w:pPr>
            <w:r w:rsidRPr="0014205E">
              <w:rPr>
                <w:sz w:val="22"/>
                <w:szCs w:val="22"/>
              </w:rPr>
              <w:t>May be required in certain animal laboratory spaces refer to PPE indicated on door sign.</w:t>
            </w:r>
          </w:p>
        </w:tc>
      </w:tr>
      <w:tr w:rsidR="003F6E97" w:rsidRPr="0014205E" w14:paraId="2123F0DD" w14:textId="77777777" w:rsidTr="00E3323A">
        <w:tc>
          <w:tcPr>
            <w:tcW w:w="2335" w:type="dxa"/>
          </w:tcPr>
          <w:p w14:paraId="3A81B388" w14:textId="25200A8B" w:rsidR="003F6E97" w:rsidRPr="0014205E" w:rsidRDefault="003F6E97" w:rsidP="0014205E">
            <w:pPr>
              <w:spacing w:after="120"/>
              <w:rPr>
                <w:sz w:val="22"/>
                <w:szCs w:val="22"/>
              </w:rPr>
            </w:pPr>
            <w:r w:rsidRPr="0014205E">
              <w:rPr>
                <w:sz w:val="22"/>
                <w:szCs w:val="22"/>
              </w:rPr>
              <w:t>Face Mask</w:t>
            </w:r>
          </w:p>
        </w:tc>
        <w:tc>
          <w:tcPr>
            <w:tcW w:w="7015" w:type="dxa"/>
          </w:tcPr>
          <w:p w14:paraId="1CD1367C" w14:textId="70CEA65C" w:rsidR="003F6E97" w:rsidRPr="0014205E" w:rsidRDefault="00E3323A" w:rsidP="0014205E">
            <w:pPr>
              <w:spacing w:after="120"/>
              <w:rPr>
                <w:sz w:val="22"/>
                <w:szCs w:val="22"/>
              </w:rPr>
            </w:pPr>
            <w:r w:rsidRPr="0014205E">
              <w:rPr>
                <w:sz w:val="22"/>
                <w:szCs w:val="22"/>
              </w:rPr>
              <w:t>May be required in non-human primate facilities for specific tasks.</w:t>
            </w:r>
          </w:p>
        </w:tc>
      </w:tr>
      <w:tr w:rsidR="003F6E97" w:rsidRPr="0014205E" w14:paraId="178EA847" w14:textId="77777777" w:rsidTr="00E3323A">
        <w:tc>
          <w:tcPr>
            <w:tcW w:w="2335" w:type="dxa"/>
          </w:tcPr>
          <w:p w14:paraId="7ADC2280" w14:textId="148B8E32" w:rsidR="003F6E97" w:rsidRPr="0014205E" w:rsidRDefault="003F6E97" w:rsidP="0014205E">
            <w:pPr>
              <w:spacing w:after="120"/>
              <w:rPr>
                <w:sz w:val="22"/>
                <w:szCs w:val="22"/>
              </w:rPr>
            </w:pPr>
            <w:r w:rsidRPr="0014205E">
              <w:rPr>
                <w:sz w:val="22"/>
                <w:szCs w:val="22"/>
              </w:rPr>
              <w:t>N95 Respirator</w:t>
            </w:r>
          </w:p>
        </w:tc>
        <w:tc>
          <w:tcPr>
            <w:tcW w:w="7015" w:type="dxa"/>
          </w:tcPr>
          <w:p w14:paraId="6A248EFE" w14:textId="1C934C7C" w:rsidR="003F6E97" w:rsidRPr="0014205E" w:rsidRDefault="00E3323A" w:rsidP="0014205E">
            <w:pPr>
              <w:spacing w:after="120"/>
              <w:rPr>
                <w:sz w:val="22"/>
                <w:szCs w:val="22"/>
              </w:rPr>
            </w:pPr>
            <w:r w:rsidRPr="0014205E">
              <w:rPr>
                <w:sz w:val="22"/>
                <w:szCs w:val="22"/>
              </w:rPr>
              <w:t>May be required for certain allergies. Risk assessment required for use of this respiratory protection and entry into the Respiratory Protection Program.</w:t>
            </w:r>
          </w:p>
        </w:tc>
      </w:tr>
      <w:tr w:rsidR="003F6E97" w:rsidRPr="0014205E" w14:paraId="7BBB50D9" w14:textId="77777777" w:rsidTr="00E3323A">
        <w:tc>
          <w:tcPr>
            <w:tcW w:w="2335" w:type="dxa"/>
          </w:tcPr>
          <w:p w14:paraId="56DA64E3" w14:textId="57DD735C" w:rsidR="003F6E97" w:rsidRPr="0014205E" w:rsidRDefault="003F6E97" w:rsidP="0014205E">
            <w:pPr>
              <w:spacing w:after="120"/>
              <w:rPr>
                <w:sz w:val="22"/>
                <w:szCs w:val="22"/>
              </w:rPr>
            </w:pPr>
            <w:r w:rsidRPr="0014205E">
              <w:rPr>
                <w:sz w:val="22"/>
                <w:szCs w:val="22"/>
              </w:rPr>
              <w:t>Face Shield</w:t>
            </w:r>
          </w:p>
        </w:tc>
        <w:tc>
          <w:tcPr>
            <w:tcW w:w="7015" w:type="dxa"/>
          </w:tcPr>
          <w:p w14:paraId="135D420B" w14:textId="2D3FB4FC" w:rsidR="003F6E97" w:rsidRPr="0014205E" w:rsidRDefault="00E3323A" w:rsidP="0014205E">
            <w:pPr>
              <w:spacing w:after="120"/>
              <w:rPr>
                <w:sz w:val="22"/>
                <w:szCs w:val="22"/>
              </w:rPr>
            </w:pPr>
            <w:r w:rsidRPr="0014205E">
              <w:rPr>
                <w:sz w:val="22"/>
                <w:szCs w:val="22"/>
              </w:rPr>
              <w:t>May be required if there is a splash hazard that cannot be mitigated through other engineering controls.</w:t>
            </w:r>
          </w:p>
        </w:tc>
      </w:tr>
      <w:tr w:rsidR="003F6E97" w:rsidRPr="0014205E" w14:paraId="1F5B4DBD" w14:textId="77777777" w:rsidTr="00E3323A">
        <w:tc>
          <w:tcPr>
            <w:tcW w:w="2335" w:type="dxa"/>
          </w:tcPr>
          <w:p w14:paraId="5C197F27" w14:textId="45B2B765" w:rsidR="003F6E97" w:rsidRPr="0014205E" w:rsidRDefault="003F6E97" w:rsidP="0014205E">
            <w:pPr>
              <w:spacing w:after="120"/>
              <w:rPr>
                <w:sz w:val="22"/>
                <w:szCs w:val="22"/>
              </w:rPr>
            </w:pPr>
            <w:r w:rsidRPr="0014205E">
              <w:rPr>
                <w:sz w:val="22"/>
                <w:szCs w:val="22"/>
              </w:rPr>
              <w:t>Double Gloves</w:t>
            </w:r>
          </w:p>
        </w:tc>
        <w:tc>
          <w:tcPr>
            <w:tcW w:w="7015" w:type="dxa"/>
          </w:tcPr>
          <w:p w14:paraId="592FF1C7" w14:textId="127B5382" w:rsidR="003F6E97" w:rsidRPr="0014205E" w:rsidRDefault="00E3323A" w:rsidP="0014205E">
            <w:pPr>
              <w:spacing w:after="120"/>
              <w:rPr>
                <w:sz w:val="22"/>
                <w:szCs w:val="22"/>
              </w:rPr>
            </w:pPr>
            <w:r w:rsidRPr="0014205E">
              <w:rPr>
                <w:sz w:val="22"/>
                <w:szCs w:val="22"/>
              </w:rPr>
              <w:t>Two pairs of gloves may be required to mitigate risks for hazards such as needle sticks; to reduce the likelihood of cross contamination from handling biohazardous organisms; and for spill clean-up as determined by risk assessment.</w:t>
            </w:r>
          </w:p>
        </w:tc>
      </w:tr>
      <w:tr w:rsidR="003F6E97" w:rsidRPr="0014205E" w14:paraId="71981106" w14:textId="77777777" w:rsidTr="00E3323A">
        <w:tc>
          <w:tcPr>
            <w:tcW w:w="2335" w:type="dxa"/>
          </w:tcPr>
          <w:p w14:paraId="0CC21B76" w14:textId="775950E5" w:rsidR="003F6E97" w:rsidRPr="0014205E" w:rsidRDefault="00E3323A" w:rsidP="0014205E">
            <w:pPr>
              <w:spacing w:after="120"/>
              <w:rPr>
                <w:sz w:val="22"/>
                <w:szCs w:val="22"/>
              </w:rPr>
            </w:pPr>
            <w:r w:rsidRPr="0014205E">
              <w:rPr>
                <w:sz w:val="22"/>
                <w:szCs w:val="22"/>
              </w:rPr>
              <w:t>Shoe Covers</w:t>
            </w:r>
          </w:p>
        </w:tc>
        <w:tc>
          <w:tcPr>
            <w:tcW w:w="7015" w:type="dxa"/>
          </w:tcPr>
          <w:p w14:paraId="0DA44281" w14:textId="264650E3" w:rsidR="003F6E97" w:rsidRPr="0014205E" w:rsidRDefault="00E3323A" w:rsidP="00353560">
            <w:pPr>
              <w:spacing w:after="120"/>
              <w:rPr>
                <w:sz w:val="22"/>
                <w:szCs w:val="22"/>
              </w:rPr>
            </w:pPr>
            <w:r w:rsidRPr="0014205E">
              <w:rPr>
                <w:sz w:val="22"/>
                <w:szCs w:val="22"/>
              </w:rPr>
              <w:t>May be required in certain animal laboratory spaces, refer to PPE indicated on door sign, to reduce the likelihood of cross contamination and for spill clean-up as determined by risk</w:t>
            </w:r>
            <w:r w:rsidR="00353560">
              <w:rPr>
                <w:sz w:val="22"/>
                <w:szCs w:val="22"/>
              </w:rPr>
              <w:t xml:space="preserve"> </w:t>
            </w:r>
            <w:r w:rsidRPr="0014205E">
              <w:rPr>
                <w:sz w:val="22"/>
                <w:szCs w:val="22"/>
              </w:rPr>
              <w:t>assessment.</w:t>
            </w:r>
          </w:p>
        </w:tc>
      </w:tr>
      <w:tr w:rsidR="00E3323A" w:rsidRPr="0014205E" w14:paraId="6A346AA3" w14:textId="77777777" w:rsidTr="00E3323A">
        <w:tc>
          <w:tcPr>
            <w:tcW w:w="2335" w:type="dxa"/>
          </w:tcPr>
          <w:p w14:paraId="42B7A700" w14:textId="38F09B63" w:rsidR="00E3323A" w:rsidRPr="0014205E" w:rsidRDefault="00E3323A" w:rsidP="0014205E">
            <w:pPr>
              <w:spacing w:after="120"/>
              <w:rPr>
                <w:sz w:val="22"/>
                <w:szCs w:val="22"/>
              </w:rPr>
            </w:pPr>
            <w:r w:rsidRPr="0014205E">
              <w:rPr>
                <w:sz w:val="22"/>
                <w:szCs w:val="22"/>
              </w:rPr>
              <w:t>Closed Front Gowns</w:t>
            </w:r>
          </w:p>
        </w:tc>
        <w:tc>
          <w:tcPr>
            <w:tcW w:w="7015" w:type="dxa"/>
          </w:tcPr>
          <w:p w14:paraId="1A8E8FEE" w14:textId="0FED6C18" w:rsidR="00E3323A" w:rsidRPr="0014205E" w:rsidRDefault="00E3323A" w:rsidP="0014205E">
            <w:pPr>
              <w:spacing w:after="120"/>
              <w:rPr>
                <w:sz w:val="22"/>
                <w:szCs w:val="22"/>
              </w:rPr>
            </w:pPr>
            <w:r w:rsidRPr="0014205E">
              <w:rPr>
                <w:sz w:val="22"/>
                <w:szCs w:val="22"/>
              </w:rPr>
              <w:t>May be required in certain laboratory spaces, refer to PPE indicated on door sign or lab SOP, to reduce the likelihood of cross contamination.</w:t>
            </w:r>
          </w:p>
        </w:tc>
      </w:tr>
      <w:tr w:rsidR="00E3323A" w:rsidRPr="0014205E" w14:paraId="0F5EC81B" w14:textId="77777777" w:rsidTr="00E3323A">
        <w:tc>
          <w:tcPr>
            <w:tcW w:w="2335" w:type="dxa"/>
          </w:tcPr>
          <w:p w14:paraId="297DC5D7" w14:textId="400635C5" w:rsidR="00E3323A" w:rsidRPr="0014205E" w:rsidRDefault="00E3323A" w:rsidP="0014205E">
            <w:pPr>
              <w:spacing w:after="120"/>
              <w:rPr>
                <w:sz w:val="22"/>
                <w:szCs w:val="22"/>
              </w:rPr>
            </w:pPr>
            <w:r w:rsidRPr="0014205E">
              <w:rPr>
                <w:sz w:val="22"/>
                <w:szCs w:val="22"/>
              </w:rPr>
              <w:t>Disposable Coats/Gowns</w:t>
            </w:r>
          </w:p>
        </w:tc>
        <w:tc>
          <w:tcPr>
            <w:tcW w:w="7015" w:type="dxa"/>
          </w:tcPr>
          <w:p w14:paraId="591B8233" w14:textId="48CD8C6D" w:rsidR="00E3323A" w:rsidRPr="0014205E" w:rsidRDefault="00E3323A" w:rsidP="0014205E">
            <w:pPr>
              <w:spacing w:after="120"/>
              <w:rPr>
                <w:sz w:val="22"/>
                <w:szCs w:val="22"/>
              </w:rPr>
            </w:pPr>
            <w:r w:rsidRPr="0014205E">
              <w:rPr>
                <w:sz w:val="22"/>
                <w:szCs w:val="22"/>
              </w:rPr>
              <w:t>May be required in certain animal laboratory spaces, refer to PPE indicated on door sign. May also be used as an alternative to cloth lab coats and gowns or when laundry service is unavailable.</w:t>
            </w:r>
          </w:p>
        </w:tc>
      </w:tr>
      <w:tr w:rsidR="00E3323A" w:rsidRPr="0014205E" w14:paraId="5340E683" w14:textId="77777777" w:rsidTr="00E3323A">
        <w:tc>
          <w:tcPr>
            <w:tcW w:w="2335" w:type="dxa"/>
          </w:tcPr>
          <w:p w14:paraId="26F425F8" w14:textId="783F135F" w:rsidR="00E3323A" w:rsidRPr="0014205E" w:rsidRDefault="00E3323A" w:rsidP="0014205E">
            <w:pPr>
              <w:spacing w:after="120"/>
              <w:rPr>
                <w:sz w:val="22"/>
                <w:szCs w:val="22"/>
              </w:rPr>
            </w:pPr>
            <w:r w:rsidRPr="0014205E">
              <w:rPr>
                <w:sz w:val="22"/>
                <w:szCs w:val="22"/>
              </w:rPr>
              <w:t>Scrubs</w:t>
            </w:r>
          </w:p>
        </w:tc>
        <w:tc>
          <w:tcPr>
            <w:tcW w:w="7015" w:type="dxa"/>
          </w:tcPr>
          <w:p w14:paraId="7F614FD7" w14:textId="13BA3625" w:rsidR="00E3323A" w:rsidRPr="0014205E" w:rsidRDefault="00E3323A" w:rsidP="00353560">
            <w:pPr>
              <w:spacing w:after="120"/>
              <w:rPr>
                <w:sz w:val="22"/>
                <w:szCs w:val="22"/>
              </w:rPr>
            </w:pPr>
            <w:r w:rsidRPr="0014205E">
              <w:rPr>
                <w:sz w:val="22"/>
                <w:szCs w:val="22"/>
              </w:rPr>
              <w:t>May be required in certain laboratory spaces, refer to PPE indicated on door sign or lab SOP, to reduce the likelihood of cross contamination and for spill clean-up as determined by risk</w:t>
            </w:r>
            <w:r w:rsidR="00353560">
              <w:rPr>
                <w:sz w:val="22"/>
                <w:szCs w:val="22"/>
              </w:rPr>
              <w:t xml:space="preserve"> </w:t>
            </w:r>
            <w:r w:rsidRPr="0014205E">
              <w:rPr>
                <w:sz w:val="22"/>
                <w:szCs w:val="22"/>
              </w:rPr>
              <w:t>assessment. May also be used as alternative protective clothing.</w:t>
            </w:r>
          </w:p>
        </w:tc>
      </w:tr>
      <w:tr w:rsidR="00E3323A" w:rsidRPr="0014205E" w14:paraId="6592C26D" w14:textId="77777777" w:rsidTr="00E3323A">
        <w:tc>
          <w:tcPr>
            <w:tcW w:w="2335" w:type="dxa"/>
          </w:tcPr>
          <w:p w14:paraId="6F96E934" w14:textId="5E4D2774" w:rsidR="00E3323A" w:rsidRPr="0014205E" w:rsidRDefault="00E3323A" w:rsidP="0014205E">
            <w:pPr>
              <w:spacing w:after="120"/>
              <w:rPr>
                <w:sz w:val="22"/>
                <w:szCs w:val="22"/>
              </w:rPr>
            </w:pPr>
            <w:r w:rsidRPr="0014205E">
              <w:rPr>
                <w:sz w:val="22"/>
                <w:szCs w:val="22"/>
              </w:rPr>
              <w:t>Tyvek Suits</w:t>
            </w:r>
          </w:p>
        </w:tc>
        <w:tc>
          <w:tcPr>
            <w:tcW w:w="7015" w:type="dxa"/>
          </w:tcPr>
          <w:p w14:paraId="0B7D6B87" w14:textId="6733B3BF" w:rsidR="00E3323A" w:rsidRPr="0014205E" w:rsidRDefault="00E3323A" w:rsidP="00353560">
            <w:pPr>
              <w:spacing w:after="120"/>
              <w:rPr>
                <w:sz w:val="22"/>
                <w:szCs w:val="22"/>
              </w:rPr>
            </w:pPr>
            <w:r w:rsidRPr="0014205E">
              <w:rPr>
                <w:sz w:val="22"/>
                <w:szCs w:val="22"/>
              </w:rPr>
              <w:t>May be required in certain animal laboratory spaces, refer to PPE indicated on door sign, to reduce the likelihood of cross contamination and for spill clean-up as determined by risk</w:t>
            </w:r>
            <w:r w:rsidR="00353560">
              <w:rPr>
                <w:sz w:val="22"/>
                <w:szCs w:val="22"/>
              </w:rPr>
              <w:t xml:space="preserve"> </w:t>
            </w:r>
            <w:r w:rsidRPr="0014205E">
              <w:rPr>
                <w:sz w:val="22"/>
                <w:szCs w:val="22"/>
              </w:rPr>
              <w:t>assessment.</w:t>
            </w:r>
          </w:p>
        </w:tc>
      </w:tr>
      <w:tr w:rsidR="00E3323A" w:rsidRPr="0014205E" w14:paraId="5C8832A3" w14:textId="77777777" w:rsidTr="00E3323A">
        <w:tc>
          <w:tcPr>
            <w:tcW w:w="2335" w:type="dxa"/>
          </w:tcPr>
          <w:p w14:paraId="2EA2BB91" w14:textId="226DC387" w:rsidR="00E3323A" w:rsidRPr="0014205E" w:rsidRDefault="00E3323A" w:rsidP="0014205E">
            <w:pPr>
              <w:spacing w:after="120"/>
              <w:rPr>
                <w:sz w:val="22"/>
                <w:szCs w:val="22"/>
              </w:rPr>
            </w:pPr>
            <w:r w:rsidRPr="0014205E">
              <w:rPr>
                <w:sz w:val="22"/>
                <w:szCs w:val="22"/>
              </w:rPr>
              <w:t>Disposable Sleeve Protectors</w:t>
            </w:r>
          </w:p>
        </w:tc>
        <w:tc>
          <w:tcPr>
            <w:tcW w:w="7015" w:type="dxa"/>
          </w:tcPr>
          <w:p w14:paraId="34026FCF" w14:textId="48B30B61" w:rsidR="00E3323A" w:rsidRPr="0014205E" w:rsidRDefault="00E3323A" w:rsidP="0014205E">
            <w:pPr>
              <w:spacing w:after="120"/>
              <w:rPr>
                <w:sz w:val="22"/>
                <w:szCs w:val="22"/>
              </w:rPr>
            </w:pPr>
            <w:r w:rsidRPr="0014205E">
              <w:rPr>
                <w:sz w:val="22"/>
                <w:szCs w:val="22"/>
              </w:rPr>
              <w:t>May be required as a supplement to lab coat or gown to mitigate risk for procedures with high splash potential (for example necropsy).</w:t>
            </w:r>
          </w:p>
        </w:tc>
      </w:tr>
    </w:tbl>
    <w:p w14:paraId="0EF5F853" w14:textId="77777777" w:rsidR="003F6E97" w:rsidRPr="0014205E" w:rsidRDefault="003F6E97" w:rsidP="0014205E">
      <w:pPr>
        <w:spacing w:after="120"/>
        <w:rPr>
          <w:sz w:val="22"/>
          <w:szCs w:val="22"/>
        </w:rPr>
      </w:pPr>
    </w:p>
    <w:p w14:paraId="43B45C3D" w14:textId="25127AC0" w:rsidR="00E3323A" w:rsidRPr="0014205E" w:rsidRDefault="00E3323A" w:rsidP="0014205E">
      <w:pPr>
        <w:spacing w:after="120"/>
        <w:rPr>
          <w:sz w:val="22"/>
          <w:szCs w:val="22"/>
        </w:rPr>
      </w:pPr>
      <w:r w:rsidRPr="0014205E">
        <w:rPr>
          <w:sz w:val="22"/>
          <w:szCs w:val="22"/>
        </w:rPr>
        <w:t xml:space="preserve">The Office of Safety can assist in the correct selection of PPE. </w:t>
      </w:r>
      <w:r w:rsidR="00C43930" w:rsidRPr="0014205E">
        <w:rPr>
          <w:sz w:val="22"/>
          <w:szCs w:val="22"/>
        </w:rPr>
        <w:t>The laboratory</w:t>
      </w:r>
      <w:r w:rsidRPr="0014205E">
        <w:rPr>
          <w:sz w:val="22"/>
          <w:szCs w:val="22"/>
        </w:rPr>
        <w:t xml:space="preserve"> dress code includes wearing long pants or equivalent leg covering and appropriate closed toe shoes.</w:t>
      </w:r>
    </w:p>
    <w:p w14:paraId="0F09A81B" w14:textId="77777777" w:rsidR="00D06B33" w:rsidRDefault="00D06B33" w:rsidP="0014205E">
      <w:pPr>
        <w:spacing w:after="120"/>
        <w:rPr>
          <w:b/>
          <w:bCs/>
          <w:sz w:val="22"/>
          <w:szCs w:val="22"/>
        </w:rPr>
      </w:pPr>
    </w:p>
    <w:p w14:paraId="3512A275" w14:textId="77777777" w:rsidR="00D06B33" w:rsidRDefault="00D06B33" w:rsidP="0014205E">
      <w:pPr>
        <w:spacing w:after="120"/>
        <w:rPr>
          <w:b/>
          <w:bCs/>
          <w:sz w:val="22"/>
          <w:szCs w:val="22"/>
        </w:rPr>
      </w:pPr>
    </w:p>
    <w:p w14:paraId="47F8B8FF" w14:textId="0082CD82" w:rsidR="00E3323A" w:rsidRPr="0014205E" w:rsidRDefault="00E3323A" w:rsidP="0014205E">
      <w:pPr>
        <w:spacing w:after="120"/>
        <w:rPr>
          <w:b/>
          <w:bCs/>
          <w:sz w:val="22"/>
          <w:szCs w:val="22"/>
        </w:rPr>
      </w:pPr>
      <w:r w:rsidRPr="0014205E">
        <w:rPr>
          <w:b/>
          <w:bCs/>
          <w:sz w:val="22"/>
          <w:szCs w:val="22"/>
        </w:rPr>
        <w:lastRenderedPageBreak/>
        <w:t>Proper Use and Care of PPE</w:t>
      </w:r>
    </w:p>
    <w:p w14:paraId="781280F6" w14:textId="77777777" w:rsidR="00E3323A" w:rsidRPr="0014205E" w:rsidRDefault="00E3323A" w:rsidP="00AF3975">
      <w:pPr>
        <w:pStyle w:val="ListParagraph"/>
        <w:numPr>
          <w:ilvl w:val="0"/>
          <w:numId w:val="1"/>
        </w:numPr>
        <w:spacing w:after="120"/>
        <w:rPr>
          <w:sz w:val="22"/>
          <w:szCs w:val="22"/>
        </w:rPr>
      </w:pPr>
      <w:r w:rsidRPr="0014205E">
        <w:rPr>
          <w:sz w:val="22"/>
          <w:szCs w:val="22"/>
        </w:rPr>
        <w:t>Change gloves when the gloves are contaminated, the integrity has been compromised, or when otherwise necessary.</w:t>
      </w:r>
    </w:p>
    <w:p w14:paraId="014CC2DA" w14:textId="77777777" w:rsidR="00E3323A" w:rsidRPr="0014205E" w:rsidRDefault="00E3323A" w:rsidP="00AF3975">
      <w:pPr>
        <w:pStyle w:val="ListParagraph"/>
        <w:numPr>
          <w:ilvl w:val="0"/>
          <w:numId w:val="1"/>
        </w:numPr>
        <w:spacing w:after="120"/>
        <w:rPr>
          <w:sz w:val="22"/>
          <w:szCs w:val="22"/>
        </w:rPr>
      </w:pPr>
      <w:r w:rsidRPr="0014205E">
        <w:rPr>
          <w:sz w:val="22"/>
          <w:szCs w:val="22"/>
        </w:rPr>
        <w:t>Do not wash or reuse disposable gloves.</w:t>
      </w:r>
    </w:p>
    <w:p w14:paraId="41C2DDD4" w14:textId="77777777" w:rsidR="00E3323A" w:rsidRPr="0014205E" w:rsidRDefault="00E3323A" w:rsidP="00AF3975">
      <w:pPr>
        <w:pStyle w:val="ListParagraph"/>
        <w:numPr>
          <w:ilvl w:val="0"/>
          <w:numId w:val="1"/>
        </w:numPr>
        <w:spacing w:after="120"/>
        <w:rPr>
          <w:sz w:val="22"/>
          <w:szCs w:val="22"/>
        </w:rPr>
      </w:pPr>
      <w:r w:rsidRPr="0014205E">
        <w:rPr>
          <w:sz w:val="22"/>
          <w:szCs w:val="22"/>
        </w:rPr>
        <w:t>Remove PPE and wash hands when work has been completed with infectious materials and before leaving the lab. Dispose of PPE with other contaminated laboratory waste appropriately.</w:t>
      </w:r>
    </w:p>
    <w:p w14:paraId="18717CB3" w14:textId="77777777" w:rsidR="00E3323A" w:rsidRPr="0014205E" w:rsidRDefault="00E3323A" w:rsidP="00AF3975">
      <w:pPr>
        <w:pStyle w:val="ListParagraph"/>
        <w:numPr>
          <w:ilvl w:val="0"/>
          <w:numId w:val="1"/>
        </w:numPr>
        <w:spacing w:after="120"/>
        <w:rPr>
          <w:sz w:val="22"/>
          <w:szCs w:val="22"/>
        </w:rPr>
      </w:pPr>
      <w:r w:rsidRPr="0014205E">
        <w:rPr>
          <w:sz w:val="22"/>
          <w:szCs w:val="22"/>
        </w:rPr>
        <w:t>Reusable PPE must be decontaminated prior to reuse.</w:t>
      </w:r>
    </w:p>
    <w:p w14:paraId="6A705394" w14:textId="7DF76F30" w:rsidR="00E3323A" w:rsidRPr="0014205E" w:rsidRDefault="00E3323A" w:rsidP="00AF3975">
      <w:pPr>
        <w:pStyle w:val="ListParagraph"/>
        <w:numPr>
          <w:ilvl w:val="0"/>
          <w:numId w:val="1"/>
        </w:numPr>
        <w:spacing w:after="120"/>
        <w:rPr>
          <w:sz w:val="22"/>
          <w:szCs w:val="22"/>
        </w:rPr>
      </w:pPr>
      <w:r w:rsidRPr="0014205E">
        <w:rPr>
          <w:sz w:val="22"/>
          <w:szCs w:val="22"/>
        </w:rPr>
        <w:t>Do not wear PPE outside of the laboratory (e.g., elevators, common non-laboratory areas, stairwells)</w:t>
      </w:r>
    </w:p>
    <w:p w14:paraId="6DBCADC6" w14:textId="77777777" w:rsidR="00333282" w:rsidRDefault="00333282" w:rsidP="0014205E">
      <w:pPr>
        <w:spacing w:after="120"/>
        <w:rPr>
          <w:b/>
          <w:bCs/>
          <w:u w:val="single"/>
        </w:rPr>
      </w:pPr>
    </w:p>
    <w:p w14:paraId="724339B1" w14:textId="61FE241F" w:rsidR="00E3323A" w:rsidRPr="00333282" w:rsidRDefault="00E3323A" w:rsidP="0014205E">
      <w:pPr>
        <w:spacing w:after="120"/>
        <w:rPr>
          <w:b/>
          <w:bCs/>
          <w:u w:val="single"/>
        </w:rPr>
      </w:pPr>
      <w:bookmarkStart w:id="29" w:name="ElectronicDevices"/>
      <w:r w:rsidRPr="00333282">
        <w:rPr>
          <w:b/>
          <w:bCs/>
          <w:u w:val="single"/>
        </w:rPr>
        <w:t>Electronic Devices</w:t>
      </w:r>
    </w:p>
    <w:bookmarkEnd w:id="29"/>
    <w:p w14:paraId="451920E7" w14:textId="0F1BD0A0" w:rsidR="00430AA3" w:rsidRPr="0014205E" w:rsidRDefault="00E3323A" w:rsidP="0014205E">
      <w:pPr>
        <w:spacing w:after="120"/>
        <w:rPr>
          <w:sz w:val="22"/>
          <w:szCs w:val="22"/>
        </w:rPr>
      </w:pPr>
      <w:r w:rsidRPr="0014205E">
        <w:rPr>
          <w:sz w:val="22"/>
          <w:szCs w:val="22"/>
        </w:rPr>
        <w:t xml:space="preserve">Using personal electronic devices (ear buds, headphones, cell phones) </w:t>
      </w:r>
      <w:r w:rsidR="00580E70" w:rsidRPr="0014205E">
        <w:rPr>
          <w:sz w:val="22"/>
          <w:szCs w:val="22"/>
        </w:rPr>
        <w:t>is</w:t>
      </w:r>
      <w:r w:rsidRPr="0014205E">
        <w:rPr>
          <w:sz w:val="22"/>
          <w:szCs w:val="22"/>
        </w:rPr>
        <w:t xml:space="preserve"> discouraged when</w:t>
      </w:r>
      <w:r w:rsidR="00430AA3" w:rsidRPr="0014205E">
        <w:rPr>
          <w:sz w:val="22"/>
          <w:szCs w:val="22"/>
        </w:rPr>
        <w:t xml:space="preserve"> </w:t>
      </w:r>
      <w:r w:rsidRPr="0014205E">
        <w:rPr>
          <w:sz w:val="22"/>
          <w:szCs w:val="22"/>
        </w:rPr>
        <w:t>working with biological materials.</w:t>
      </w:r>
      <w:r w:rsidR="00430AA3" w:rsidRPr="0014205E">
        <w:rPr>
          <w:sz w:val="22"/>
          <w:szCs w:val="22"/>
        </w:rPr>
        <w:t xml:space="preserve"> </w:t>
      </w:r>
    </w:p>
    <w:p w14:paraId="26359205" w14:textId="1A7A4612" w:rsidR="00430AA3" w:rsidRPr="0014205E" w:rsidRDefault="00E3323A" w:rsidP="00AF3975">
      <w:pPr>
        <w:pStyle w:val="ListParagraph"/>
        <w:numPr>
          <w:ilvl w:val="0"/>
          <w:numId w:val="2"/>
        </w:numPr>
        <w:spacing w:after="120"/>
        <w:rPr>
          <w:sz w:val="22"/>
          <w:szCs w:val="22"/>
        </w:rPr>
      </w:pPr>
      <w:r w:rsidRPr="0014205E">
        <w:rPr>
          <w:sz w:val="22"/>
          <w:szCs w:val="22"/>
        </w:rPr>
        <w:t>These devices can become contaminated if used while handling biological</w:t>
      </w:r>
      <w:r w:rsidR="00353560">
        <w:rPr>
          <w:sz w:val="22"/>
          <w:szCs w:val="22"/>
        </w:rPr>
        <w:t xml:space="preserve"> material</w:t>
      </w:r>
      <w:r w:rsidRPr="0014205E">
        <w:rPr>
          <w:sz w:val="22"/>
          <w:szCs w:val="22"/>
        </w:rPr>
        <w:t>s which may result in</w:t>
      </w:r>
      <w:r w:rsidR="00430AA3" w:rsidRPr="0014205E">
        <w:rPr>
          <w:sz w:val="22"/>
          <w:szCs w:val="22"/>
        </w:rPr>
        <w:t xml:space="preserve"> </w:t>
      </w:r>
      <w:r w:rsidRPr="0014205E">
        <w:rPr>
          <w:sz w:val="22"/>
          <w:szCs w:val="22"/>
        </w:rPr>
        <w:t>personal contamination and transfer of infectious materials outside of the laboratory.</w:t>
      </w:r>
      <w:r w:rsidR="00430AA3" w:rsidRPr="0014205E">
        <w:rPr>
          <w:sz w:val="22"/>
          <w:szCs w:val="22"/>
        </w:rPr>
        <w:t xml:space="preserve"> </w:t>
      </w:r>
    </w:p>
    <w:p w14:paraId="0C2313E0" w14:textId="3D23EC85" w:rsidR="00E3323A" w:rsidRPr="0014205E" w:rsidRDefault="00430AA3" w:rsidP="00AF3975">
      <w:pPr>
        <w:pStyle w:val="ListParagraph"/>
        <w:numPr>
          <w:ilvl w:val="0"/>
          <w:numId w:val="2"/>
        </w:numPr>
        <w:spacing w:after="120"/>
        <w:rPr>
          <w:sz w:val="22"/>
          <w:szCs w:val="22"/>
        </w:rPr>
      </w:pPr>
      <w:r w:rsidRPr="0014205E">
        <w:rPr>
          <w:sz w:val="22"/>
          <w:szCs w:val="22"/>
        </w:rPr>
        <w:t xml:space="preserve">Wearing electronic devices may impede awareness of lab activities and emergency situations. </w:t>
      </w:r>
      <w:r w:rsidRPr="0014205E">
        <w:rPr>
          <w:sz w:val="22"/>
          <w:szCs w:val="22"/>
        </w:rPr>
        <w:cr/>
      </w:r>
    </w:p>
    <w:p w14:paraId="658E1D72" w14:textId="242808C5" w:rsidR="00430AA3" w:rsidRPr="009321E2" w:rsidRDefault="000A313A" w:rsidP="0014205E">
      <w:pPr>
        <w:spacing w:after="120"/>
        <w:rPr>
          <w:b/>
          <w:bCs/>
          <w:u w:val="single"/>
        </w:rPr>
      </w:pPr>
      <w:bookmarkStart w:id="30" w:name="SignsandLabels"/>
      <w:r>
        <w:rPr>
          <w:b/>
          <w:bCs/>
          <w:u w:val="single"/>
        </w:rPr>
        <w:t>Signs and Labels</w:t>
      </w:r>
    </w:p>
    <w:bookmarkEnd w:id="30"/>
    <w:p w14:paraId="1CED98F6" w14:textId="2B9E220E" w:rsidR="00430AA3" w:rsidRDefault="00430AA3" w:rsidP="0014205E">
      <w:pPr>
        <w:spacing w:after="120"/>
        <w:rPr>
          <w:sz w:val="22"/>
          <w:szCs w:val="22"/>
        </w:rPr>
      </w:pPr>
      <w:r w:rsidRPr="0014205E">
        <w:rPr>
          <w:sz w:val="22"/>
          <w:szCs w:val="22"/>
        </w:rPr>
        <w:t>The necessity for establishing policies and procedures for proper identification of hazardous biological agents within UND laboratories is to alert support and emergency personnel who may enter the area to take precautionary measures and to restrict traffic to potentially hazardous areas.</w:t>
      </w:r>
    </w:p>
    <w:p w14:paraId="7190EDD7" w14:textId="77777777" w:rsidR="00326634" w:rsidRPr="0014205E" w:rsidRDefault="00430AA3" w:rsidP="00AF3975">
      <w:pPr>
        <w:pStyle w:val="ListParagraph"/>
        <w:numPr>
          <w:ilvl w:val="0"/>
          <w:numId w:val="3"/>
        </w:numPr>
        <w:spacing w:after="120"/>
        <w:rPr>
          <w:b/>
          <w:bCs/>
          <w:sz w:val="22"/>
          <w:szCs w:val="22"/>
        </w:rPr>
      </w:pPr>
      <w:r w:rsidRPr="0014205E">
        <w:rPr>
          <w:b/>
          <w:bCs/>
          <w:sz w:val="22"/>
          <w:szCs w:val="22"/>
        </w:rPr>
        <w:t>Signs</w:t>
      </w:r>
    </w:p>
    <w:p w14:paraId="67E07FA4" w14:textId="2B8E9955" w:rsidR="0077242E" w:rsidRPr="0014205E" w:rsidRDefault="00430AA3" w:rsidP="0014205E">
      <w:pPr>
        <w:pStyle w:val="ListParagraph"/>
        <w:spacing w:after="120"/>
        <w:rPr>
          <w:sz w:val="22"/>
          <w:szCs w:val="22"/>
        </w:rPr>
      </w:pPr>
      <w:r w:rsidRPr="0014205E">
        <w:rPr>
          <w:sz w:val="22"/>
          <w:szCs w:val="22"/>
        </w:rPr>
        <w:t>All areas and laboratories that contain biohazardous agents must be posted with a lab door sign.</w:t>
      </w:r>
      <w:r w:rsidR="00326634" w:rsidRPr="0014205E">
        <w:rPr>
          <w:sz w:val="22"/>
          <w:szCs w:val="22"/>
        </w:rPr>
        <w:t xml:space="preserve"> </w:t>
      </w:r>
      <w:r w:rsidRPr="0014205E">
        <w:rPr>
          <w:sz w:val="22"/>
          <w:szCs w:val="22"/>
        </w:rPr>
        <w:t xml:space="preserve">Signage </w:t>
      </w:r>
      <w:r w:rsidR="0077242E" w:rsidRPr="0014205E">
        <w:rPr>
          <w:sz w:val="22"/>
          <w:szCs w:val="22"/>
        </w:rPr>
        <w:t>with the biohazard symbol</w:t>
      </w:r>
      <w:r w:rsidRPr="0014205E">
        <w:rPr>
          <w:sz w:val="22"/>
          <w:szCs w:val="22"/>
        </w:rPr>
        <w:t xml:space="preserve"> must be clearly posted on all doors of the research or animal</w:t>
      </w:r>
      <w:r w:rsidR="00326634" w:rsidRPr="0014205E">
        <w:rPr>
          <w:sz w:val="22"/>
          <w:szCs w:val="22"/>
        </w:rPr>
        <w:t xml:space="preserve"> </w:t>
      </w:r>
      <w:r w:rsidRPr="0014205E">
        <w:rPr>
          <w:sz w:val="22"/>
          <w:szCs w:val="22"/>
        </w:rPr>
        <w:t xml:space="preserve">procedure and housing rooms. </w:t>
      </w:r>
    </w:p>
    <w:p w14:paraId="0F14F033" w14:textId="77777777" w:rsidR="0077242E" w:rsidRPr="0014205E" w:rsidRDefault="0077242E" w:rsidP="0014205E">
      <w:pPr>
        <w:pStyle w:val="ListParagraph"/>
        <w:spacing w:after="120"/>
        <w:rPr>
          <w:sz w:val="22"/>
          <w:szCs w:val="22"/>
        </w:rPr>
      </w:pPr>
      <w:r w:rsidRPr="0014205E">
        <w:rPr>
          <w:sz w:val="22"/>
          <w:szCs w:val="22"/>
        </w:rPr>
        <w:t>These signs shall:</w:t>
      </w:r>
    </w:p>
    <w:p w14:paraId="276C4175" w14:textId="77777777" w:rsidR="0077242E" w:rsidRPr="0014205E" w:rsidRDefault="0077242E" w:rsidP="00AF3975">
      <w:pPr>
        <w:pStyle w:val="ListParagraph"/>
        <w:numPr>
          <w:ilvl w:val="0"/>
          <w:numId w:val="4"/>
        </w:numPr>
        <w:spacing w:after="120"/>
        <w:rPr>
          <w:sz w:val="22"/>
          <w:szCs w:val="22"/>
        </w:rPr>
      </w:pPr>
      <w:r w:rsidRPr="0014205E">
        <w:rPr>
          <w:sz w:val="22"/>
          <w:szCs w:val="22"/>
        </w:rPr>
        <w:t>Indicate the biosafety level of the laboratory.</w:t>
      </w:r>
    </w:p>
    <w:p w14:paraId="6FA0ED04" w14:textId="77777777" w:rsidR="0077242E" w:rsidRPr="0014205E" w:rsidRDefault="0077242E" w:rsidP="00AF3975">
      <w:pPr>
        <w:pStyle w:val="ListParagraph"/>
        <w:numPr>
          <w:ilvl w:val="0"/>
          <w:numId w:val="4"/>
        </w:numPr>
        <w:spacing w:after="120"/>
        <w:rPr>
          <w:sz w:val="22"/>
          <w:szCs w:val="22"/>
        </w:rPr>
      </w:pPr>
      <w:r w:rsidRPr="0014205E">
        <w:rPr>
          <w:sz w:val="22"/>
          <w:szCs w:val="22"/>
        </w:rPr>
        <w:t>List the name and telephone number for the PI or responsible person to facilitate contact in case of emergency.</w:t>
      </w:r>
    </w:p>
    <w:p w14:paraId="7A64E2C0" w14:textId="57C2DFF5" w:rsidR="0077242E" w:rsidRPr="0014205E" w:rsidRDefault="0077242E" w:rsidP="00AF3975">
      <w:pPr>
        <w:pStyle w:val="ListParagraph"/>
        <w:numPr>
          <w:ilvl w:val="0"/>
          <w:numId w:val="4"/>
        </w:numPr>
        <w:spacing w:after="120"/>
        <w:rPr>
          <w:sz w:val="22"/>
          <w:szCs w:val="22"/>
        </w:rPr>
      </w:pPr>
      <w:r w:rsidRPr="0014205E">
        <w:rPr>
          <w:sz w:val="22"/>
          <w:szCs w:val="22"/>
        </w:rPr>
        <w:t>List PPE requirements and any required procedures for entering and exiting the laboratory.</w:t>
      </w:r>
    </w:p>
    <w:p w14:paraId="11BB5B33" w14:textId="722BEB2F" w:rsidR="00657D3A" w:rsidRPr="0014205E" w:rsidRDefault="00657D3A" w:rsidP="00AF3975">
      <w:pPr>
        <w:pStyle w:val="ListParagraph"/>
        <w:numPr>
          <w:ilvl w:val="0"/>
          <w:numId w:val="4"/>
        </w:numPr>
        <w:spacing w:after="120"/>
        <w:rPr>
          <w:sz w:val="22"/>
          <w:szCs w:val="22"/>
        </w:rPr>
      </w:pPr>
      <w:r w:rsidRPr="0014205E">
        <w:rPr>
          <w:sz w:val="22"/>
          <w:szCs w:val="22"/>
        </w:rPr>
        <w:t>Indicate if any chemical or radiological hazards are present.</w:t>
      </w:r>
    </w:p>
    <w:p w14:paraId="15C75514" w14:textId="77777777" w:rsidR="0077242E" w:rsidRPr="0014205E" w:rsidRDefault="0077242E" w:rsidP="0014205E">
      <w:pPr>
        <w:pStyle w:val="ListParagraph"/>
        <w:spacing w:after="120"/>
        <w:rPr>
          <w:sz w:val="22"/>
          <w:szCs w:val="22"/>
        </w:rPr>
      </w:pPr>
    </w:p>
    <w:p w14:paraId="7E740A34" w14:textId="6040089C" w:rsidR="00326634" w:rsidRPr="0014205E" w:rsidRDefault="00430AA3" w:rsidP="0014205E">
      <w:pPr>
        <w:pStyle w:val="ListParagraph"/>
        <w:spacing w:after="120"/>
        <w:rPr>
          <w:sz w:val="22"/>
          <w:szCs w:val="22"/>
        </w:rPr>
      </w:pPr>
      <w:r w:rsidRPr="0014205E">
        <w:rPr>
          <w:sz w:val="22"/>
          <w:szCs w:val="22"/>
        </w:rPr>
        <w:t>Specific agent information is not posted on the sign. Safety information</w:t>
      </w:r>
      <w:r w:rsidR="00326634" w:rsidRPr="0014205E">
        <w:rPr>
          <w:sz w:val="22"/>
          <w:szCs w:val="22"/>
        </w:rPr>
        <w:t xml:space="preserve"> </w:t>
      </w:r>
      <w:r w:rsidRPr="0014205E">
        <w:rPr>
          <w:sz w:val="22"/>
          <w:szCs w:val="22"/>
        </w:rPr>
        <w:t>for the specific agents used in the room are located in the labs or in the animal containment room.</w:t>
      </w:r>
    </w:p>
    <w:p w14:paraId="4D026552" w14:textId="77777777" w:rsidR="00657D3A" w:rsidRPr="0014205E" w:rsidRDefault="00657D3A" w:rsidP="0014205E">
      <w:pPr>
        <w:pStyle w:val="ListParagraph"/>
        <w:spacing w:after="120"/>
        <w:rPr>
          <w:sz w:val="22"/>
          <w:szCs w:val="22"/>
        </w:rPr>
      </w:pPr>
    </w:p>
    <w:p w14:paraId="52984CC0" w14:textId="7C56630B" w:rsidR="0077242E" w:rsidRPr="00580E70" w:rsidRDefault="00430AA3" w:rsidP="0014205E">
      <w:pPr>
        <w:pStyle w:val="ListParagraph"/>
        <w:spacing w:after="120"/>
        <w:rPr>
          <w:color w:val="215E99" w:themeColor="text2" w:themeTint="BF"/>
          <w:sz w:val="22"/>
          <w:szCs w:val="22"/>
        </w:rPr>
      </w:pPr>
      <w:r w:rsidRPr="0014205E">
        <w:rPr>
          <w:sz w:val="22"/>
          <w:szCs w:val="22"/>
        </w:rPr>
        <w:lastRenderedPageBreak/>
        <w:t>Laboratory Door Sign</w:t>
      </w:r>
      <w:r w:rsidR="00326634" w:rsidRPr="0014205E">
        <w:rPr>
          <w:sz w:val="22"/>
          <w:szCs w:val="22"/>
        </w:rPr>
        <w:t>s</w:t>
      </w:r>
      <w:r w:rsidRPr="0014205E">
        <w:rPr>
          <w:sz w:val="22"/>
          <w:szCs w:val="22"/>
        </w:rPr>
        <w:t xml:space="preserve"> </w:t>
      </w:r>
      <w:r w:rsidR="00326634" w:rsidRPr="0014205E">
        <w:rPr>
          <w:sz w:val="22"/>
          <w:szCs w:val="22"/>
        </w:rPr>
        <w:t>can be found on the Office of Safety website</w:t>
      </w:r>
      <w:r w:rsidR="00CA7B3E">
        <w:rPr>
          <w:sz w:val="22"/>
          <w:szCs w:val="22"/>
        </w:rPr>
        <w:t xml:space="preserve"> under Lab Signs &amp; Labels</w:t>
      </w:r>
      <w:r w:rsidR="00326634" w:rsidRPr="0014205E">
        <w:rPr>
          <w:sz w:val="22"/>
          <w:szCs w:val="22"/>
        </w:rPr>
        <w:t xml:space="preserve">: </w:t>
      </w:r>
      <w:hyperlink r:id="rId31" w:history="1">
        <w:r w:rsidR="00580E70" w:rsidRPr="00580E70">
          <w:rPr>
            <w:rStyle w:val="Hyperlink"/>
            <w:color w:val="215E99" w:themeColor="text2" w:themeTint="BF"/>
            <w:sz w:val="22"/>
            <w:szCs w:val="22"/>
          </w:rPr>
          <w:t>https://campus.und.edu/safety/public-safety/lab-and-research/general-lab-safety.html#d65e113--1</w:t>
        </w:r>
      </w:hyperlink>
      <w:r w:rsidR="00580E70" w:rsidRPr="00580E70">
        <w:rPr>
          <w:color w:val="215E99" w:themeColor="text2" w:themeTint="BF"/>
          <w:sz w:val="22"/>
          <w:szCs w:val="22"/>
        </w:rPr>
        <w:t xml:space="preserve"> </w:t>
      </w:r>
      <w:r w:rsidR="00580E70">
        <w:rPr>
          <w:color w:val="215E99" w:themeColor="text2" w:themeTint="BF"/>
          <w:sz w:val="22"/>
          <w:szCs w:val="22"/>
        </w:rPr>
        <w:t>.</w:t>
      </w:r>
    </w:p>
    <w:p w14:paraId="460D4919" w14:textId="77777777" w:rsidR="00657D3A" w:rsidRPr="0014205E" w:rsidRDefault="00657D3A" w:rsidP="0014205E">
      <w:pPr>
        <w:pStyle w:val="ListParagraph"/>
        <w:spacing w:after="120"/>
        <w:rPr>
          <w:sz w:val="22"/>
          <w:szCs w:val="22"/>
        </w:rPr>
      </w:pPr>
    </w:p>
    <w:p w14:paraId="256D2349" w14:textId="092459DE" w:rsidR="00430AA3" w:rsidRPr="0014205E" w:rsidRDefault="00430AA3" w:rsidP="00AF3975">
      <w:pPr>
        <w:pStyle w:val="ListParagraph"/>
        <w:numPr>
          <w:ilvl w:val="0"/>
          <w:numId w:val="3"/>
        </w:numPr>
        <w:spacing w:after="120"/>
        <w:rPr>
          <w:sz w:val="22"/>
          <w:szCs w:val="22"/>
        </w:rPr>
      </w:pPr>
      <w:r w:rsidRPr="0014205E">
        <w:rPr>
          <w:b/>
          <w:bCs/>
          <w:sz w:val="22"/>
          <w:szCs w:val="22"/>
        </w:rPr>
        <w:t>Labels and Tags</w:t>
      </w:r>
    </w:p>
    <w:p w14:paraId="66EF7A63" w14:textId="64CDC9C0" w:rsidR="00430AA3" w:rsidRPr="0014205E" w:rsidRDefault="00430AA3" w:rsidP="0014205E">
      <w:pPr>
        <w:spacing w:after="120"/>
        <w:ind w:left="720"/>
        <w:rPr>
          <w:sz w:val="22"/>
          <w:szCs w:val="22"/>
        </w:rPr>
      </w:pPr>
      <w:r w:rsidRPr="0014205E">
        <w:rPr>
          <w:sz w:val="22"/>
          <w:szCs w:val="22"/>
        </w:rPr>
        <w:t>The universal "Biohazard" warning labels must be used to identify the following</w:t>
      </w:r>
      <w:r w:rsidR="00657D3A" w:rsidRPr="0014205E">
        <w:rPr>
          <w:sz w:val="22"/>
          <w:szCs w:val="22"/>
        </w:rPr>
        <w:t xml:space="preserve"> i</w:t>
      </w:r>
      <w:r w:rsidRPr="0014205E">
        <w:rPr>
          <w:sz w:val="22"/>
          <w:szCs w:val="22"/>
        </w:rPr>
        <w:t>tems:</w:t>
      </w:r>
    </w:p>
    <w:p w14:paraId="0C372420" w14:textId="2B032765" w:rsidR="00430AA3" w:rsidRPr="0014205E" w:rsidRDefault="00430AA3" w:rsidP="00AF3975">
      <w:pPr>
        <w:pStyle w:val="ListParagraph"/>
        <w:numPr>
          <w:ilvl w:val="1"/>
          <w:numId w:val="3"/>
        </w:numPr>
        <w:spacing w:after="120"/>
        <w:rPr>
          <w:sz w:val="22"/>
          <w:szCs w:val="22"/>
        </w:rPr>
      </w:pPr>
      <w:r w:rsidRPr="0014205E">
        <w:rPr>
          <w:sz w:val="22"/>
          <w:szCs w:val="22"/>
        </w:rPr>
        <w:t>Containers of infectious materials; including waste and storage</w:t>
      </w:r>
    </w:p>
    <w:p w14:paraId="3A719247" w14:textId="302B3807" w:rsidR="00430AA3" w:rsidRPr="0014205E" w:rsidRDefault="00430AA3" w:rsidP="00AF3975">
      <w:pPr>
        <w:pStyle w:val="ListParagraph"/>
        <w:numPr>
          <w:ilvl w:val="1"/>
          <w:numId w:val="3"/>
        </w:numPr>
        <w:spacing w:after="120"/>
        <w:rPr>
          <w:sz w:val="22"/>
          <w:szCs w:val="22"/>
        </w:rPr>
      </w:pPr>
      <w:r w:rsidRPr="0014205E">
        <w:rPr>
          <w:sz w:val="22"/>
          <w:szCs w:val="22"/>
        </w:rPr>
        <w:t>Equipment (</w:t>
      </w:r>
      <w:r w:rsidR="00657D3A" w:rsidRPr="0014205E">
        <w:rPr>
          <w:sz w:val="22"/>
          <w:szCs w:val="22"/>
        </w:rPr>
        <w:t xml:space="preserve">e.g., </w:t>
      </w:r>
      <w:r w:rsidRPr="0014205E">
        <w:rPr>
          <w:sz w:val="22"/>
          <w:szCs w:val="22"/>
        </w:rPr>
        <w:t>incubators</w:t>
      </w:r>
      <w:r w:rsidR="00657D3A" w:rsidRPr="0014205E">
        <w:rPr>
          <w:sz w:val="22"/>
          <w:szCs w:val="22"/>
        </w:rPr>
        <w:t xml:space="preserve">, refrigerators, </w:t>
      </w:r>
      <w:r w:rsidRPr="0014205E">
        <w:rPr>
          <w:sz w:val="22"/>
          <w:szCs w:val="22"/>
        </w:rPr>
        <w:t xml:space="preserve">freezers) where biohazards are </w:t>
      </w:r>
      <w:r w:rsidR="00353560" w:rsidRPr="0014205E">
        <w:rPr>
          <w:sz w:val="22"/>
          <w:szCs w:val="22"/>
        </w:rPr>
        <w:t>stored.</w:t>
      </w:r>
    </w:p>
    <w:p w14:paraId="32057F8A" w14:textId="568B4526" w:rsidR="00430AA3" w:rsidRPr="0014205E" w:rsidRDefault="00430AA3" w:rsidP="00AF3975">
      <w:pPr>
        <w:pStyle w:val="ListParagraph"/>
        <w:numPr>
          <w:ilvl w:val="1"/>
          <w:numId w:val="3"/>
        </w:numPr>
        <w:spacing w:after="120"/>
        <w:rPr>
          <w:sz w:val="22"/>
          <w:szCs w:val="22"/>
        </w:rPr>
      </w:pPr>
      <w:r w:rsidRPr="0014205E">
        <w:rPr>
          <w:sz w:val="22"/>
          <w:szCs w:val="22"/>
        </w:rPr>
        <w:t>Equipment</w:t>
      </w:r>
      <w:r w:rsidR="00657D3A" w:rsidRPr="0014205E">
        <w:rPr>
          <w:sz w:val="22"/>
          <w:szCs w:val="22"/>
        </w:rPr>
        <w:t xml:space="preserve"> (e.g., biosafety cabinets)</w:t>
      </w:r>
      <w:r w:rsidRPr="0014205E">
        <w:rPr>
          <w:sz w:val="22"/>
          <w:szCs w:val="22"/>
        </w:rPr>
        <w:t xml:space="preserve"> which may be contaminated through normal use of </w:t>
      </w:r>
      <w:r w:rsidR="00353560" w:rsidRPr="0014205E">
        <w:rPr>
          <w:sz w:val="22"/>
          <w:szCs w:val="22"/>
        </w:rPr>
        <w:t>biohazards.</w:t>
      </w:r>
    </w:p>
    <w:p w14:paraId="6B255E0D" w14:textId="516D1729" w:rsidR="00430AA3" w:rsidRPr="0014205E" w:rsidRDefault="00430AA3" w:rsidP="00AF3975">
      <w:pPr>
        <w:pStyle w:val="ListParagraph"/>
        <w:numPr>
          <w:ilvl w:val="1"/>
          <w:numId w:val="3"/>
        </w:numPr>
        <w:spacing w:after="120"/>
        <w:rPr>
          <w:sz w:val="22"/>
          <w:szCs w:val="22"/>
        </w:rPr>
      </w:pPr>
      <w:r w:rsidRPr="0014205E">
        <w:rPr>
          <w:sz w:val="22"/>
          <w:szCs w:val="22"/>
        </w:rPr>
        <w:t>Laboratory animals (cages) which are potentially infectious. In addition, the cage will also be labeled</w:t>
      </w:r>
      <w:r w:rsidR="00657D3A" w:rsidRPr="0014205E">
        <w:rPr>
          <w:sz w:val="22"/>
          <w:szCs w:val="22"/>
        </w:rPr>
        <w:t xml:space="preserve"> </w:t>
      </w:r>
      <w:r w:rsidRPr="0014205E">
        <w:rPr>
          <w:sz w:val="22"/>
          <w:szCs w:val="22"/>
        </w:rPr>
        <w:t>with the specific agent administered to the animals.</w:t>
      </w:r>
    </w:p>
    <w:p w14:paraId="675D6B0F" w14:textId="3048E01D" w:rsidR="00657D3A" w:rsidRPr="0014205E" w:rsidRDefault="00657D3A" w:rsidP="0014205E">
      <w:pPr>
        <w:spacing w:after="120"/>
        <w:ind w:left="720"/>
        <w:rPr>
          <w:sz w:val="22"/>
          <w:szCs w:val="22"/>
        </w:rPr>
      </w:pPr>
      <w:r w:rsidRPr="0014205E">
        <w:rPr>
          <w:sz w:val="22"/>
          <w:szCs w:val="22"/>
        </w:rPr>
        <w:t>All refrigerators, freezers, microwaves within UND laboratory spaces, regardless of contents, must display signage such as:</w:t>
      </w:r>
    </w:p>
    <w:p w14:paraId="7010DC1F" w14:textId="7EB25A87" w:rsidR="00D25799" w:rsidRPr="0014205E" w:rsidRDefault="00D25799" w:rsidP="0014205E">
      <w:pPr>
        <w:spacing w:after="120"/>
        <w:ind w:left="720"/>
        <w:jc w:val="center"/>
        <w:rPr>
          <w:sz w:val="22"/>
          <w:szCs w:val="22"/>
        </w:rPr>
      </w:pPr>
      <w:r w:rsidRPr="0014205E">
        <w:rPr>
          <w:noProof/>
          <w:sz w:val="22"/>
          <w:szCs w:val="22"/>
        </w:rPr>
        <w:drawing>
          <wp:inline distT="0" distB="0" distL="0" distR="0" wp14:anchorId="0FDE6E86" wp14:editId="741903C4">
            <wp:extent cx="4734560" cy="1647825"/>
            <wp:effectExtent l="0" t="0" r="8890" b="9525"/>
            <wp:docPr id="1538924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34560" cy="1647825"/>
                    </a:xfrm>
                    <a:prstGeom prst="rect">
                      <a:avLst/>
                    </a:prstGeom>
                    <a:noFill/>
                  </pic:spPr>
                </pic:pic>
              </a:graphicData>
            </a:graphic>
          </wp:inline>
        </w:drawing>
      </w:r>
    </w:p>
    <w:p w14:paraId="007723E8" w14:textId="426DE621" w:rsidR="00657D3A" w:rsidRPr="0014205E" w:rsidRDefault="00D25799" w:rsidP="0014205E">
      <w:pPr>
        <w:spacing w:after="120"/>
        <w:rPr>
          <w:sz w:val="22"/>
          <w:szCs w:val="22"/>
        </w:rPr>
      </w:pPr>
      <w:r w:rsidRPr="0014205E">
        <w:rPr>
          <w:sz w:val="22"/>
          <w:szCs w:val="22"/>
        </w:rPr>
        <w:tab/>
      </w:r>
      <w:r w:rsidR="001F05A4">
        <w:rPr>
          <w:sz w:val="22"/>
          <w:szCs w:val="22"/>
        </w:rPr>
        <w:tab/>
      </w:r>
      <w:r w:rsidRPr="0014205E">
        <w:rPr>
          <w:sz w:val="22"/>
          <w:szCs w:val="22"/>
        </w:rPr>
        <w:t>*These signs are examples</w:t>
      </w:r>
      <w:r w:rsidR="00DB5DDA" w:rsidRPr="0014205E">
        <w:rPr>
          <w:sz w:val="22"/>
          <w:szCs w:val="22"/>
        </w:rPr>
        <w:t xml:space="preserve">, </w:t>
      </w:r>
      <w:r w:rsidR="00D22DAC" w:rsidRPr="0014205E">
        <w:rPr>
          <w:sz w:val="22"/>
          <w:szCs w:val="22"/>
        </w:rPr>
        <w:t xml:space="preserve">any sign with </w:t>
      </w:r>
      <w:r w:rsidR="00DB5DDA" w:rsidRPr="0014205E">
        <w:rPr>
          <w:sz w:val="22"/>
          <w:szCs w:val="22"/>
        </w:rPr>
        <w:t xml:space="preserve">similar verbiage </w:t>
      </w:r>
      <w:r w:rsidR="00D22DAC" w:rsidRPr="0014205E">
        <w:rPr>
          <w:sz w:val="22"/>
          <w:szCs w:val="22"/>
        </w:rPr>
        <w:t>is acceptable.</w:t>
      </w:r>
    </w:p>
    <w:p w14:paraId="57773B07" w14:textId="77777777" w:rsidR="00737D63" w:rsidRDefault="00737D63" w:rsidP="0014205E">
      <w:pPr>
        <w:spacing w:after="120"/>
        <w:rPr>
          <w:b/>
          <w:bCs/>
          <w:u w:val="single"/>
        </w:rPr>
      </w:pPr>
    </w:p>
    <w:p w14:paraId="471B8DF6" w14:textId="14206160" w:rsidR="00161D96" w:rsidRPr="009321E2" w:rsidRDefault="00161D96" w:rsidP="0014205E">
      <w:pPr>
        <w:spacing w:after="120"/>
      </w:pPr>
      <w:bookmarkStart w:id="31" w:name="StorageofBiohazardousMaterials"/>
      <w:r w:rsidRPr="009321E2">
        <w:rPr>
          <w:b/>
          <w:bCs/>
          <w:u w:val="single"/>
        </w:rPr>
        <w:t>Storage of Biohazardous Materials</w:t>
      </w:r>
      <w:r w:rsidRPr="009321E2">
        <w:t xml:space="preserve"> </w:t>
      </w:r>
    </w:p>
    <w:bookmarkEnd w:id="31"/>
    <w:p w14:paraId="76A0CDB5" w14:textId="008ACD88" w:rsidR="00161D96" w:rsidRDefault="00161D96" w:rsidP="0014205E">
      <w:pPr>
        <w:spacing w:after="120"/>
        <w:rPr>
          <w:sz w:val="22"/>
          <w:szCs w:val="22"/>
        </w:rPr>
      </w:pPr>
      <w:r w:rsidRPr="0014205E">
        <w:rPr>
          <w:sz w:val="22"/>
          <w:szCs w:val="22"/>
        </w:rPr>
        <w:t xml:space="preserve">All infectious materials to be stored must be clearly labeled with the universal biohazard symbol. Materials for long-term storage must be inspected </w:t>
      </w:r>
      <w:r w:rsidR="00580E70">
        <w:rPr>
          <w:sz w:val="22"/>
          <w:szCs w:val="22"/>
        </w:rPr>
        <w:t xml:space="preserve">annually, </w:t>
      </w:r>
      <w:r w:rsidRPr="0014205E">
        <w:rPr>
          <w:sz w:val="22"/>
          <w:szCs w:val="22"/>
        </w:rPr>
        <w:t>and each container must be checked for cracks and other damage and properly disposed or replaced.</w:t>
      </w:r>
      <w:r w:rsidR="009029F2">
        <w:rPr>
          <w:sz w:val="22"/>
          <w:szCs w:val="22"/>
        </w:rPr>
        <w:t xml:space="preserve"> </w:t>
      </w:r>
      <w:r w:rsidRPr="0014205E">
        <w:rPr>
          <w:sz w:val="22"/>
          <w:szCs w:val="22"/>
        </w:rPr>
        <w:t>Expired and other unwanted material</w:t>
      </w:r>
      <w:r w:rsidR="001F05A4">
        <w:rPr>
          <w:sz w:val="22"/>
          <w:szCs w:val="22"/>
        </w:rPr>
        <w:t>s</w:t>
      </w:r>
      <w:r w:rsidRPr="0014205E">
        <w:rPr>
          <w:sz w:val="22"/>
          <w:szCs w:val="22"/>
        </w:rPr>
        <w:t xml:space="preserve"> must be decontaminated properly. In the event of a freezer </w:t>
      </w:r>
      <w:r w:rsidR="001F05A4">
        <w:rPr>
          <w:sz w:val="22"/>
          <w:szCs w:val="22"/>
        </w:rPr>
        <w:t>malfunction</w:t>
      </w:r>
      <w:r w:rsidRPr="0014205E">
        <w:rPr>
          <w:sz w:val="22"/>
          <w:szCs w:val="22"/>
        </w:rPr>
        <w:t>, all materials that are unable to be salvaged must be properly treated by autoclaving or chemical disinfection prior to final disposal.</w:t>
      </w:r>
    </w:p>
    <w:p w14:paraId="05D4DC5B" w14:textId="6D003723" w:rsidR="009029F2" w:rsidRPr="0014205E" w:rsidRDefault="009029F2" w:rsidP="0014205E">
      <w:pPr>
        <w:spacing w:after="120"/>
        <w:rPr>
          <w:sz w:val="22"/>
          <w:szCs w:val="22"/>
        </w:rPr>
      </w:pPr>
      <w:r>
        <w:rPr>
          <w:sz w:val="22"/>
          <w:szCs w:val="22"/>
        </w:rPr>
        <w:t>Biological m</w:t>
      </w:r>
      <w:r w:rsidRPr="009029F2">
        <w:rPr>
          <w:sz w:val="22"/>
          <w:szCs w:val="22"/>
        </w:rPr>
        <w:t xml:space="preserve">aterials that are stored but not part of an active protocol should be recorded in a </w:t>
      </w:r>
      <w:r>
        <w:rPr>
          <w:sz w:val="22"/>
          <w:szCs w:val="22"/>
        </w:rPr>
        <w:t>“</w:t>
      </w:r>
      <w:r w:rsidRPr="009029F2">
        <w:rPr>
          <w:sz w:val="22"/>
          <w:szCs w:val="22"/>
        </w:rPr>
        <w:t>Storage of Microbial Agents</w:t>
      </w:r>
      <w:r>
        <w:rPr>
          <w:sz w:val="22"/>
          <w:szCs w:val="22"/>
        </w:rPr>
        <w:t>”</w:t>
      </w:r>
      <w:r w:rsidRPr="009029F2">
        <w:rPr>
          <w:sz w:val="22"/>
          <w:szCs w:val="22"/>
        </w:rPr>
        <w:t xml:space="preserve"> protocol. </w:t>
      </w:r>
      <w:r>
        <w:rPr>
          <w:sz w:val="22"/>
          <w:szCs w:val="22"/>
        </w:rPr>
        <w:t>The IBC will exempt the protocol from reviews/renewals, using it as record of the stored items on campus.</w:t>
      </w:r>
    </w:p>
    <w:p w14:paraId="23F11127" w14:textId="77777777" w:rsidR="00AC3A48" w:rsidRDefault="00AC3A48" w:rsidP="0014205E">
      <w:pPr>
        <w:spacing w:after="120"/>
        <w:rPr>
          <w:b/>
          <w:bCs/>
          <w:u w:val="single"/>
        </w:rPr>
      </w:pPr>
    </w:p>
    <w:p w14:paraId="6B9A0BD3" w14:textId="77777777" w:rsidR="009029F2" w:rsidRDefault="009029F2" w:rsidP="0014205E">
      <w:pPr>
        <w:spacing w:after="120"/>
        <w:rPr>
          <w:b/>
          <w:bCs/>
          <w:u w:val="single"/>
        </w:rPr>
      </w:pPr>
    </w:p>
    <w:p w14:paraId="743684CE" w14:textId="493D1787" w:rsidR="00161D96" w:rsidRPr="009321E2" w:rsidRDefault="00161D96" w:rsidP="0014205E">
      <w:pPr>
        <w:spacing w:after="120"/>
      </w:pPr>
      <w:bookmarkStart w:id="32" w:name="IntegratedPestMgt"/>
      <w:r w:rsidRPr="009321E2">
        <w:rPr>
          <w:b/>
          <w:bCs/>
          <w:u w:val="single"/>
        </w:rPr>
        <w:lastRenderedPageBreak/>
        <w:t>Integrated Pest Management</w:t>
      </w:r>
      <w:r w:rsidRPr="009321E2">
        <w:t xml:space="preserve"> </w:t>
      </w:r>
    </w:p>
    <w:bookmarkEnd w:id="32"/>
    <w:p w14:paraId="5AEADF61" w14:textId="211DC717" w:rsidR="00161D96" w:rsidRPr="0014205E" w:rsidRDefault="00161D96" w:rsidP="0014205E">
      <w:pPr>
        <w:spacing w:after="120"/>
        <w:rPr>
          <w:sz w:val="22"/>
          <w:szCs w:val="22"/>
        </w:rPr>
      </w:pPr>
      <w:r w:rsidRPr="0014205E">
        <w:rPr>
          <w:sz w:val="22"/>
          <w:szCs w:val="22"/>
        </w:rPr>
        <w:t xml:space="preserve">Pests can mechanically transfer infectious agents between laboratory samples, and potentially even carry the agents out of the laboratory itself. Thus, control and elimination of pests is a high priority to laboratory facility operations. Pest traps, such as "sticky boards" may be used to evaluate pest presence. Traps can be requested through Facilities Management (777-2591) and should be visually inspected monthly by designated lab personnel. Evidence of the presence of pests will be reported to the PI so that appropriate pest eradication efforts can be initiated. Refer to the </w:t>
      </w:r>
      <w:r w:rsidR="00697AA5" w:rsidRPr="0014205E">
        <w:rPr>
          <w:sz w:val="22"/>
          <w:szCs w:val="22"/>
        </w:rPr>
        <w:t>UND</w:t>
      </w:r>
      <w:r w:rsidRPr="0014205E">
        <w:rPr>
          <w:sz w:val="22"/>
          <w:szCs w:val="22"/>
        </w:rPr>
        <w:t xml:space="preserve"> Integrated Pest Management </w:t>
      </w:r>
      <w:r w:rsidR="00697AA5" w:rsidRPr="0014205E">
        <w:rPr>
          <w:sz w:val="22"/>
          <w:szCs w:val="22"/>
        </w:rPr>
        <w:t>Plan</w:t>
      </w:r>
      <w:r w:rsidRPr="0014205E">
        <w:rPr>
          <w:sz w:val="22"/>
          <w:szCs w:val="22"/>
        </w:rPr>
        <w:t xml:space="preserve"> for further information. </w:t>
      </w:r>
    </w:p>
    <w:p w14:paraId="24B00198" w14:textId="77777777" w:rsidR="00737D63" w:rsidRDefault="00737D63" w:rsidP="0014205E">
      <w:pPr>
        <w:spacing w:after="120"/>
        <w:rPr>
          <w:b/>
          <w:bCs/>
          <w:u w:val="single"/>
        </w:rPr>
      </w:pPr>
    </w:p>
    <w:p w14:paraId="3016EF8D" w14:textId="258CC6B6" w:rsidR="00161D96" w:rsidRPr="009321E2" w:rsidRDefault="00161D96" w:rsidP="0014205E">
      <w:pPr>
        <w:spacing w:after="120"/>
      </w:pPr>
      <w:bookmarkStart w:id="33" w:name="SOPs"/>
      <w:r w:rsidRPr="009321E2">
        <w:rPr>
          <w:b/>
          <w:bCs/>
          <w:u w:val="single"/>
        </w:rPr>
        <w:t>Standard Operating Procedures (SOP)</w:t>
      </w:r>
      <w:r w:rsidRPr="009321E2">
        <w:t xml:space="preserve"> </w:t>
      </w:r>
    </w:p>
    <w:bookmarkEnd w:id="33"/>
    <w:p w14:paraId="18424FBA" w14:textId="07AD2BE5" w:rsidR="00697AA5" w:rsidRPr="0014205E" w:rsidRDefault="001F05A4" w:rsidP="0014205E">
      <w:pPr>
        <w:spacing w:after="120"/>
        <w:rPr>
          <w:sz w:val="22"/>
          <w:szCs w:val="22"/>
        </w:rPr>
      </w:pPr>
      <w:r>
        <w:rPr>
          <w:sz w:val="22"/>
          <w:szCs w:val="22"/>
        </w:rPr>
        <w:t>W</w:t>
      </w:r>
      <w:r w:rsidR="00161D96" w:rsidRPr="0014205E">
        <w:rPr>
          <w:sz w:val="22"/>
          <w:szCs w:val="22"/>
        </w:rPr>
        <w:t xml:space="preserve">ritten procedures should be available for work with infectious materials. These procedures should be reviewed annually and updated whenever a procedure changes. The SOP </w:t>
      </w:r>
      <w:r w:rsidR="00697AA5" w:rsidRPr="0014205E">
        <w:rPr>
          <w:sz w:val="22"/>
          <w:szCs w:val="22"/>
        </w:rPr>
        <w:t>t</w:t>
      </w:r>
      <w:r w:rsidR="00161D96" w:rsidRPr="0014205E">
        <w:rPr>
          <w:sz w:val="22"/>
          <w:szCs w:val="22"/>
        </w:rPr>
        <w:t xml:space="preserve">emplate can be modified for specific tasks or procedures. These SOPs can be modified or used as part of your lab-specific training documentation: </w:t>
      </w:r>
    </w:p>
    <w:p w14:paraId="00BBA1A9" w14:textId="77777777" w:rsidR="00697AA5" w:rsidRPr="009A6126" w:rsidRDefault="00161D96" w:rsidP="00AF3975">
      <w:pPr>
        <w:pStyle w:val="ListParagraph"/>
        <w:numPr>
          <w:ilvl w:val="0"/>
          <w:numId w:val="3"/>
        </w:numPr>
        <w:spacing w:after="120"/>
        <w:rPr>
          <w:sz w:val="22"/>
          <w:szCs w:val="22"/>
        </w:rPr>
      </w:pPr>
      <w:r w:rsidRPr="009A6126">
        <w:rPr>
          <w:sz w:val="22"/>
          <w:szCs w:val="22"/>
        </w:rPr>
        <w:t xml:space="preserve">Adenovirus/Adenoviral Vectors: Standard Operating Procedure </w:t>
      </w:r>
    </w:p>
    <w:p w14:paraId="2AA4E013" w14:textId="6914608E" w:rsidR="00697AA5" w:rsidRPr="009A6126" w:rsidRDefault="00161D96" w:rsidP="00AF3975">
      <w:pPr>
        <w:pStyle w:val="ListParagraph"/>
        <w:numPr>
          <w:ilvl w:val="0"/>
          <w:numId w:val="3"/>
        </w:numPr>
        <w:spacing w:after="120"/>
        <w:rPr>
          <w:sz w:val="22"/>
          <w:szCs w:val="22"/>
        </w:rPr>
      </w:pPr>
      <w:r w:rsidRPr="009A6126">
        <w:rPr>
          <w:sz w:val="22"/>
          <w:szCs w:val="22"/>
        </w:rPr>
        <w:t xml:space="preserve">Retrovirus/Retroviral Vectors: Standard Operating Procedure </w:t>
      </w:r>
    </w:p>
    <w:p w14:paraId="493987FA" w14:textId="77777777" w:rsidR="00697AA5" w:rsidRPr="009A6126" w:rsidRDefault="00161D96" w:rsidP="00AF3975">
      <w:pPr>
        <w:pStyle w:val="ListParagraph"/>
        <w:numPr>
          <w:ilvl w:val="0"/>
          <w:numId w:val="3"/>
        </w:numPr>
        <w:spacing w:after="120"/>
        <w:rPr>
          <w:sz w:val="22"/>
          <w:szCs w:val="22"/>
        </w:rPr>
      </w:pPr>
      <w:r w:rsidRPr="009A6126">
        <w:rPr>
          <w:sz w:val="22"/>
          <w:szCs w:val="22"/>
        </w:rPr>
        <w:t>Biological Toxins Standard Operation Procedure</w:t>
      </w:r>
    </w:p>
    <w:p w14:paraId="666BDB8B" w14:textId="1979B0C8" w:rsidR="00697AA5" w:rsidRPr="001F05A4" w:rsidRDefault="00161D96" w:rsidP="00AF3975">
      <w:pPr>
        <w:pStyle w:val="ListParagraph"/>
        <w:numPr>
          <w:ilvl w:val="0"/>
          <w:numId w:val="3"/>
        </w:numPr>
        <w:spacing w:after="120"/>
        <w:rPr>
          <w:sz w:val="22"/>
          <w:szCs w:val="22"/>
        </w:rPr>
      </w:pPr>
      <w:r w:rsidRPr="001F05A4">
        <w:rPr>
          <w:sz w:val="22"/>
          <w:szCs w:val="22"/>
        </w:rPr>
        <w:t xml:space="preserve">Biological Safety Cabinet </w:t>
      </w:r>
    </w:p>
    <w:p w14:paraId="3CB56B2B" w14:textId="249D4E5B" w:rsidR="00161D96" w:rsidRPr="0014205E" w:rsidRDefault="001F05A4" w:rsidP="00AF3975">
      <w:pPr>
        <w:pStyle w:val="ListParagraph"/>
        <w:numPr>
          <w:ilvl w:val="0"/>
          <w:numId w:val="3"/>
        </w:numPr>
        <w:spacing w:after="120"/>
        <w:rPr>
          <w:sz w:val="22"/>
          <w:szCs w:val="22"/>
        </w:rPr>
      </w:pPr>
      <w:r>
        <w:rPr>
          <w:sz w:val="22"/>
          <w:szCs w:val="22"/>
        </w:rPr>
        <w:t>Emergency Response and Evacuation</w:t>
      </w:r>
    </w:p>
    <w:p w14:paraId="3DC62347" w14:textId="77777777" w:rsidR="00737D63" w:rsidRDefault="00737D63" w:rsidP="0014205E">
      <w:pPr>
        <w:spacing w:after="120"/>
        <w:rPr>
          <w:b/>
          <w:bCs/>
          <w:u w:val="single"/>
        </w:rPr>
      </w:pPr>
    </w:p>
    <w:p w14:paraId="388252DF" w14:textId="0F39F705" w:rsidR="00697AA5" w:rsidRPr="009321E2" w:rsidRDefault="00697AA5" w:rsidP="0014205E">
      <w:pPr>
        <w:spacing w:after="120"/>
      </w:pPr>
      <w:bookmarkStart w:id="34" w:name="Multimedia"/>
      <w:bookmarkStart w:id="35" w:name="Inspections"/>
      <w:r w:rsidRPr="009321E2">
        <w:rPr>
          <w:b/>
          <w:bCs/>
          <w:u w:val="single"/>
        </w:rPr>
        <w:t>Multimedia Resources</w:t>
      </w:r>
      <w:r w:rsidRPr="009321E2">
        <w:t xml:space="preserve"> </w:t>
      </w:r>
    </w:p>
    <w:bookmarkEnd w:id="34"/>
    <w:bookmarkEnd w:id="35"/>
    <w:p w14:paraId="030D0BF3" w14:textId="12F3C431" w:rsidR="00697AA5" w:rsidRPr="0014205E" w:rsidRDefault="00697AA5" w:rsidP="0014205E">
      <w:pPr>
        <w:spacing w:after="120"/>
        <w:rPr>
          <w:sz w:val="22"/>
          <w:szCs w:val="22"/>
        </w:rPr>
      </w:pPr>
      <w:r w:rsidRPr="0014205E">
        <w:rPr>
          <w:sz w:val="22"/>
          <w:szCs w:val="22"/>
        </w:rPr>
        <w:t xml:space="preserve">The Office of Safety offers faculty, </w:t>
      </w:r>
      <w:r w:rsidR="00B267E9" w:rsidRPr="0014205E">
        <w:rPr>
          <w:sz w:val="22"/>
          <w:szCs w:val="22"/>
        </w:rPr>
        <w:t>staff,</w:t>
      </w:r>
      <w:r w:rsidRPr="0014205E">
        <w:rPr>
          <w:sz w:val="22"/>
          <w:szCs w:val="22"/>
        </w:rPr>
        <w:t xml:space="preserve"> and students these resources to supplement our training courses and reinforce our UND culture of safety and environmental protection. </w:t>
      </w:r>
    </w:p>
    <w:p w14:paraId="7CDEF1B8" w14:textId="77777777" w:rsidR="00697AA5" w:rsidRPr="0014205E" w:rsidRDefault="00697AA5" w:rsidP="00AF3975">
      <w:pPr>
        <w:pStyle w:val="ListParagraph"/>
        <w:numPr>
          <w:ilvl w:val="0"/>
          <w:numId w:val="5"/>
        </w:numPr>
        <w:spacing w:after="120"/>
        <w:rPr>
          <w:sz w:val="22"/>
          <w:szCs w:val="22"/>
        </w:rPr>
      </w:pPr>
      <w:r w:rsidRPr="0014205E">
        <w:rPr>
          <w:sz w:val="22"/>
          <w:szCs w:val="22"/>
        </w:rPr>
        <w:t xml:space="preserve">Biological Exposure Response Poster </w:t>
      </w:r>
    </w:p>
    <w:p w14:paraId="106D9718" w14:textId="730C3B49" w:rsidR="00697AA5" w:rsidRPr="0014205E" w:rsidRDefault="007547EE" w:rsidP="00AF3975">
      <w:pPr>
        <w:pStyle w:val="ListParagraph"/>
        <w:numPr>
          <w:ilvl w:val="0"/>
          <w:numId w:val="5"/>
        </w:numPr>
        <w:spacing w:after="120"/>
        <w:rPr>
          <w:sz w:val="22"/>
          <w:szCs w:val="22"/>
        </w:rPr>
      </w:pPr>
      <w:r w:rsidRPr="0014205E">
        <w:rPr>
          <w:sz w:val="22"/>
          <w:szCs w:val="22"/>
        </w:rPr>
        <w:t>Waste Streams Poster</w:t>
      </w:r>
    </w:p>
    <w:p w14:paraId="58F654D6" w14:textId="7DE988CC" w:rsidR="00697AA5" w:rsidRPr="0014205E" w:rsidRDefault="00697AA5" w:rsidP="00AF3975">
      <w:pPr>
        <w:pStyle w:val="ListParagraph"/>
        <w:numPr>
          <w:ilvl w:val="0"/>
          <w:numId w:val="5"/>
        </w:numPr>
        <w:spacing w:after="120"/>
        <w:rPr>
          <w:sz w:val="22"/>
          <w:szCs w:val="22"/>
        </w:rPr>
      </w:pPr>
      <w:r w:rsidRPr="0014205E">
        <w:rPr>
          <w:sz w:val="22"/>
          <w:szCs w:val="22"/>
        </w:rPr>
        <w:t>Animal Allergy Poster</w:t>
      </w:r>
    </w:p>
    <w:p w14:paraId="0E65093F" w14:textId="77777777" w:rsidR="009A6126" w:rsidRDefault="009A6126" w:rsidP="0014205E">
      <w:pPr>
        <w:spacing w:after="120"/>
        <w:rPr>
          <w:b/>
          <w:bCs/>
          <w:u w:val="single"/>
        </w:rPr>
      </w:pPr>
    </w:p>
    <w:p w14:paraId="12F87FBC" w14:textId="250365CC" w:rsidR="00CC535C" w:rsidRPr="009321E2" w:rsidRDefault="00CC535C" w:rsidP="0014205E">
      <w:pPr>
        <w:spacing w:after="120"/>
      </w:pPr>
      <w:r w:rsidRPr="009321E2">
        <w:rPr>
          <w:b/>
          <w:bCs/>
          <w:u w:val="single"/>
        </w:rPr>
        <w:t>Inspections</w:t>
      </w:r>
      <w:r w:rsidRPr="009321E2">
        <w:t xml:space="preserve"> </w:t>
      </w:r>
    </w:p>
    <w:p w14:paraId="67D73301" w14:textId="67FB996B" w:rsidR="00C62E31" w:rsidRPr="0014205E" w:rsidRDefault="00CC535C" w:rsidP="0014205E">
      <w:pPr>
        <w:spacing w:after="120"/>
        <w:rPr>
          <w:sz w:val="22"/>
          <w:szCs w:val="22"/>
        </w:rPr>
      </w:pPr>
      <w:r w:rsidRPr="0014205E">
        <w:rPr>
          <w:sz w:val="22"/>
          <w:szCs w:val="22"/>
        </w:rPr>
        <w:t xml:space="preserve">Annual safety inspections are to ensure the lab's facilities, training, and work practices are appropriate for the approved biosafety level. This inspection will cover the biological aspects of the research and the lab’s IBC registration. A person (PI, Lab manager or designee) who can discuss details of the biological work must be present at the inspection. Inspections can be scheduled by contacting Laboratory &amp; Research Safety Officer at </w:t>
      </w:r>
      <w:hyperlink r:id="rId33" w:history="1">
        <w:r w:rsidR="00C62E31" w:rsidRPr="00580E70">
          <w:rPr>
            <w:rStyle w:val="Hyperlink"/>
            <w:color w:val="215E99" w:themeColor="text2" w:themeTint="BF"/>
            <w:sz w:val="22"/>
            <w:szCs w:val="22"/>
          </w:rPr>
          <w:t>UND.safety@UND.edu</w:t>
        </w:r>
      </w:hyperlink>
      <w:r w:rsidRPr="0014205E">
        <w:rPr>
          <w:sz w:val="22"/>
          <w:szCs w:val="22"/>
        </w:rPr>
        <w:t>.</w:t>
      </w:r>
    </w:p>
    <w:p w14:paraId="552276D5" w14:textId="77777777" w:rsidR="00737D63" w:rsidRDefault="00737D63">
      <w:pPr>
        <w:rPr>
          <w:b/>
          <w:bCs/>
          <w:sz w:val="28"/>
          <w:szCs w:val="28"/>
        </w:rPr>
      </w:pPr>
      <w:r>
        <w:rPr>
          <w:b/>
          <w:bCs/>
          <w:sz w:val="28"/>
          <w:szCs w:val="28"/>
        </w:rPr>
        <w:br w:type="page"/>
      </w:r>
    </w:p>
    <w:p w14:paraId="3B62B6E5" w14:textId="744A5B6D" w:rsidR="00C62E31" w:rsidRPr="009321E2" w:rsidRDefault="00C62E31" w:rsidP="0014205E">
      <w:pPr>
        <w:spacing w:after="120"/>
        <w:rPr>
          <w:sz w:val="28"/>
          <w:szCs w:val="28"/>
        </w:rPr>
      </w:pPr>
      <w:bookmarkStart w:id="36" w:name="S8Equipment"/>
      <w:r w:rsidRPr="009321E2">
        <w:rPr>
          <w:b/>
          <w:bCs/>
          <w:sz w:val="28"/>
          <w:szCs w:val="28"/>
        </w:rPr>
        <w:lastRenderedPageBreak/>
        <w:t xml:space="preserve">SECTION </w:t>
      </w:r>
      <w:r w:rsidR="00737D63">
        <w:rPr>
          <w:b/>
          <w:bCs/>
          <w:sz w:val="28"/>
          <w:szCs w:val="28"/>
        </w:rPr>
        <w:t>8</w:t>
      </w:r>
      <w:r w:rsidRPr="009321E2">
        <w:rPr>
          <w:b/>
          <w:bCs/>
          <w:sz w:val="28"/>
          <w:szCs w:val="28"/>
        </w:rPr>
        <w:t>: EQUIPMENT</w:t>
      </w:r>
      <w:r w:rsidRPr="009321E2">
        <w:rPr>
          <w:sz w:val="28"/>
          <w:szCs w:val="28"/>
        </w:rPr>
        <w:t xml:space="preserve"> </w:t>
      </w:r>
    </w:p>
    <w:bookmarkEnd w:id="36"/>
    <w:p w14:paraId="646FC758" w14:textId="77777777" w:rsidR="00737D63" w:rsidRDefault="00737D63" w:rsidP="0014205E">
      <w:pPr>
        <w:spacing w:after="120"/>
        <w:rPr>
          <w:b/>
          <w:bCs/>
          <w:u w:val="single"/>
        </w:rPr>
      </w:pPr>
    </w:p>
    <w:p w14:paraId="462F6C8D" w14:textId="63A24CF9" w:rsidR="00C62E31" w:rsidRPr="009321E2" w:rsidRDefault="00C62E31" w:rsidP="0014205E">
      <w:pPr>
        <w:spacing w:after="120"/>
        <w:rPr>
          <w:b/>
          <w:bCs/>
          <w:u w:val="single"/>
        </w:rPr>
      </w:pPr>
      <w:bookmarkStart w:id="37" w:name="Pipettes"/>
      <w:r w:rsidRPr="009321E2">
        <w:rPr>
          <w:b/>
          <w:bCs/>
          <w:u w:val="single"/>
        </w:rPr>
        <w:t>Pipettes</w:t>
      </w:r>
      <w:bookmarkEnd w:id="37"/>
      <w:r w:rsidRPr="009321E2">
        <w:rPr>
          <w:b/>
          <w:bCs/>
          <w:u w:val="single"/>
        </w:rPr>
        <w:t xml:space="preserve"> </w:t>
      </w:r>
    </w:p>
    <w:p w14:paraId="7DB5DB7D" w14:textId="77777777" w:rsidR="006427F2" w:rsidRPr="0014205E" w:rsidRDefault="00C62E31" w:rsidP="0014205E">
      <w:pPr>
        <w:spacing w:after="120"/>
        <w:rPr>
          <w:sz w:val="22"/>
          <w:szCs w:val="22"/>
        </w:rPr>
      </w:pPr>
      <w:r w:rsidRPr="0014205E">
        <w:rPr>
          <w:sz w:val="22"/>
          <w:szCs w:val="22"/>
        </w:rPr>
        <w:t xml:space="preserve">Filtered pipettes or tips should be used when pipetting biohazards, and whenever possible, glass pipettes should be replaced with disposable options. </w:t>
      </w:r>
    </w:p>
    <w:p w14:paraId="062D4310" w14:textId="4E108BF2" w:rsidR="006427F2" w:rsidRPr="0014205E" w:rsidRDefault="00C62E31" w:rsidP="0014205E">
      <w:pPr>
        <w:spacing w:after="120"/>
        <w:rPr>
          <w:sz w:val="22"/>
          <w:szCs w:val="22"/>
        </w:rPr>
      </w:pPr>
      <w:r w:rsidRPr="0014205E">
        <w:rPr>
          <w:sz w:val="22"/>
          <w:szCs w:val="22"/>
        </w:rPr>
        <w:t>When pipetting liquid cultures</w:t>
      </w:r>
      <w:r w:rsidR="00580E70">
        <w:rPr>
          <w:sz w:val="22"/>
          <w:szCs w:val="22"/>
        </w:rPr>
        <w:t>,</w:t>
      </w:r>
      <w:r w:rsidRPr="0014205E">
        <w:rPr>
          <w:sz w:val="22"/>
          <w:szCs w:val="22"/>
        </w:rPr>
        <w:t xml:space="preserve"> exposure to aerosols may occur when liquid from a pipette is dropped onto the work surface, or when the last drop of an inoculum is blown out. The safe pipetting techniques, which follow, are required to minimize the potential for exposure to hazardous materials. </w:t>
      </w:r>
    </w:p>
    <w:p w14:paraId="6E8CB594" w14:textId="6611DC3A" w:rsidR="006427F2" w:rsidRPr="0014205E" w:rsidRDefault="00C62E31" w:rsidP="00AF3975">
      <w:pPr>
        <w:pStyle w:val="ListParagraph"/>
        <w:numPr>
          <w:ilvl w:val="0"/>
          <w:numId w:val="6"/>
        </w:numPr>
        <w:spacing w:after="120"/>
        <w:rPr>
          <w:sz w:val="22"/>
          <w:szCs w:val="22"/>
        </w:rPr>
      </w:pPr>
      <w:r w:rsidRPr="0014205E">
        <w:rPr>
          <w:sz w:val="22"/>
          <w:szCs w:val="22"/>
        </w:rPr>
        <w:t xml:space="preserve">Mouth pipetting is prohibited. </w:t>
      </w:r>
    </w:p>
    <w:p w14:paraId="65FC71B5" w14:textId="60DA73B2" w:rsidR="006427F2" w:rsidRPr="0014205E" w:rsidRDefault="00C62E31" w:rsidP="00AF3975">
      <w:pPr>
        <w:pStyle w:val="ListParagraph"/>
        <w:numPr>
          <w:ilvl w:val="0"/>
          <w:numId w:val="6"/>
        </w:numPr>
        <w:spacing w:after="120"/>
        <w:rPr>
          <w:sz w:val="22"/>
          <w:szCs w:val="22"/>
        </w:rPr>
      </w:pPr>
      <w:r w:rsidRPr="0014205E">
        <w:rPr>
          <w:sz w:val="22"/>
          <w:szCs w:val="22"/>
        </w:rPr>
        <w:t xml:space="preserve">Contaminated pipettes should be collected for proper disposal. </w:t>
      </w:r>
    </w:p>
    <w:p w14:paraId="2C40445D" w14:textId="3726C855" w:rsidR="006427F2" w:rsidRPr="0014205E" w:rsidRDefault="00C62E31" w:rsidP="00AF3975">
      <w:pPr>
        <w:pStyle w:val="ListParagraph"/>
        <w:numPr>
          <w:ilvl w:val="0"/>
          <w:numId w:val="6"/>
        </w:numPr>
        <w:spacing w:after="120"/>
        <w:rPr>
          <w:sz w:val="22"/>
          <w:szCs w:val="22"/>
        </w:rPr>
      </w:pPr>
      <w:r w:rsidRPr="0014205E">
        <w:rPr>
          <w:sz w:val="22"/>
          <w:szCs w:val="22"/>
        </w:rPr>
        <w:t xml:space="preserve">When resuspending liquid cultures, use a swirling action to create a homogeneous suspension with a minimum of aerosolization. </w:t>
      </w:r>
    </w:p>
    <w:p w14:paraId="578DE56C" w14:textId="77777777" w:rsidR="009A6126" w:rsidRDefault="009A6126" w:rsidP="0014205E">
      <w:pPr>
        <w:spacing w:after="120"/>
        <w:rPr>
          <w:b/>
          <w:bCs/>
          <w:u w:val="single"/>
        </w:rPr>
      </w:pPr>
    </w:p>
    <w:p w14:paraId="5662C2B5" w14:textId="552069F6" w:rsidR="006427F2" w:rsidRPr="009321E2" w:rsidRDefault="00C62E31" w:rsidP="0014205E">
      <w:pPr>
        <w:spacing w:after="120"/>
        <w:rPr>
          <w:b/>
          <w:bCs/>
          <w:u w:val="single"/>
        </w:rPr>
      </w:pPr>
      <w:bookmarkStart w:id="38" w:name="InlineHEPAFilter"/>
      <w:r w:rsidRPr="009321E2">
        <w:rPr>
          <w:b/>
          <w:bCs/>
          <w:u w:val="single"/>
        </w:rPr>
        <w:t xml:space="preserve">In-Line HEPA Filter - Protection of Vacuum Line </w:t>
      </w:r>
    </w:p>
    <w:bookmarkEnd w:id="38"/>
    <w:p w14:paraId="07DD9FDA" w14:textId="269D9800" w:rsidR="00C62E31" w:rsidRPr="0014205E" w:rsidRDefault="00C62E31" w:rsidP="0014205E">
      <w:pPr>
        <w:spacing w:after="120"/>
        <w:rPr>
          <w:sz w:val="22"/>
          <w:szCs w:val="22"/>
        </w:rPr>
      </w:pPr>
      <w:r w:rsidRPr="0014205E">
        <w:rPr>
          <w:sz w:val="22"/>
          <w:szCs w:val="22"/>
        </w:rPr>
        <w:t>Vacuum lines should be protected by a high efficiency particulate air (HEPA) vacuum filter (e</w:t>
      </w:r>
      <w:r w:rsidR="006427F2" w:rsidRPr="0014205E">
        <w:rPr>
          <w:sz w:val="22"/>
          <w:szCs w:val="22"/>
        </w:rPr>
        <w:t>.g</w:t>
      </w:r>
      <w:r w:rsidRPr="0014205E">
        <w:rPr>
          <w:sz w:val="22"/>
          <w:szCs w:val="22"/>
        </w:rPr>
        <w:t>.</w:t>
      </w:r>
      <w:r w:rsidR="006427F2" w:rsidRPr="0014205E">
        <w:rPr>
          <w:sz w:val="22"/>
          <w:szCs w:val="22"/>
        </w:rPr>
        <w:t>,</w:t>
      </w:r>
      <w:r w:rsidRPr="0014205E">
        <w:rPr>
          <w:sz w:val="22"/>
          <w:szCs w:val="22"/>
        </w:rPr>
        <w:t xml:space="preserve"> VacuShield product). Use a liquid vacuum flask(s) to collect waste. These filters can isolate and confine infectious materials, preventing fluid and aerosol contamination of vacuum pumps or aspiration suction systems. Filters are available through laboratory supply catalogs. A second vacuum collection flask may be used as a backup (see below). If this set up is placed outside of the biosafety cabinet, it should be contained in a tray or pan to prevent accidental spills.</w:t>
      </w:r>
    </w:p>
    <w:p w14:paraId="670B58EB" w14:textId="5479D526" w:rsidR="006427F2" w:rsidRPr="0014205E" w:rsidRDefault="006427F2" w:rsidP="0014205E">
      <w:pPr>
        <w:spacing w:after="120"/>
        <w:jc w:val="center"/>
        <w:rPr>
          <w:sz w:val="22"/>
          <w:szCs w:val="22"/>
        </w:rPr>
      </w:pPr>
      <w:r w:rsidRPr="0014205E">
        <w:rPr>
          <w:noProof/>
          <w:sz w:val="22"/>
          <w:szCs w:val="22"/>
        </w:rPr>
        <w:drawing>
          <wp:inline distT="0" distB="0" distL="0" distR="0" wp14:anchorId="60F2E766" wp14:editId="6E203713">
            <wp:extent cx="3057952" cy="2391109"/>
            <wp:effectExtent l="0" t="0" r="9525" b="9525"/>
            <wp:docPr id="1106611013" name="Picture 1" descr="Diagram of a diagram of a laborator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11013" name="Picture 1" descr="Diagram of a diagram of a laboratory&#10;&#10;Description automatically generated with medium confidence"/>
                    <pic:cNvPicPr/>
                  </pic:nvPicPr>
                  <pic:blipFill>
                    <a:blip r:embed="rId34"/>
                    <a:stretch>
                      <a:fillRect/>
                    </a:stretch>
                  </pic:blipFill>
                  <pic:spPr>
                    <a:xfrm>
                      <a:off x="0" y="0"/>
                      <a:ext cx="3057952" cy="2391109"/>
                    </a:xfrm>
                    <a:prstGeom prst="rect">
                      <a:avLst/>
                    </a:prstGeom>
                  </pic:spPr>
                </pic:pic>
              </a:graphicData>
            </a:graphic>
          </wp:inline>
        </w:drawing>
      </w:r>
    </w:p>
    <w:p w14:paraId="5C3A3330" w14:textId="77777777" w:rsidR="006427F2" w:rsidRPr="0014205E" w:rsidRDefault="006427F2" w:rsidP="0014205E">
      <w:pPr>
        <w:spacing w:after="120"/>
        <w:rPr>
          <w:sz w:val="22"/>
          <w:szCs w:val="22"/>
        </w:rPr>
      </w:pPr>
      <w:bookmarkStart w:id="39" w:name="Sharps"/>
      <w:r w:rsidRPr="009321E2">
        <w:rPr>
          <w:b/>
          <w:bCs/>
          <w:u w:val="single"/>
        </w:rPr>
        <w:t>Sharps</w:t>
      </w:r>
      <w:r w:rsidRPr="0014205E">
        <w:rPr>
          <w:sz w:val="22"/>
          <w:szCs w:val="22"/>
        </w:rPr>
        <w:t xml:space="preserve"> </w:t>
      </w:r>
    </w:p>
    <w:bookmarkEnd w:id="39"/>
    <w:p w14:paraId="5D541D25" w14:textId="77777777" w:rsidR="006427F2" w:rsidRPr="0014205E" w:rsidRDefault="006427F2" w:rsidP="0014205E">
      <w:pPr>
        <w:spacing w:after="120"/>
        <w:rPr>
          <w:sz w:val="22"/>
          <w:szCs w:val="22"/>
        </w:rPr>
      </w:pPr>
      <w:r w:rsidRPr="0014205E">
        <w:rPr>
          <w:sz w:val="22"/>
          <w:szCs w:val="22"/>
        </w:rPr>
        <w:t xml:space="preserve">The use of sharps such as needles and syringes, scalpels, and other contaminated objects that can penetrate the skin should be restricted to procedures for which there is no alternative. Needles and </w:t>
      </w:r>
      <w:r w:rsidRPr="0014205E">
        <w:rPr>
          <w:sz w:val="22"/>
          <w:szCs w:val="22"/>
        </w:rPr>
        <w:lastRenderedPageBreak/>
        <w:t xml:space="preserve">syringes should never be used as a substitute for pipettes. When sharps must be used, the following procedures are recommended: </w:t>
      </w:r>
    </w:p>
    <w:p w14:paraId="338AC00A" w14:textId="7A5AAA95" w:rsidR="006427F2" w:rsidRPr="0014205E" w:rsidRDefault="006427F2" w:rsidP="00AF3975">
      <w:pPr>
        <w:pStyle w:val="ListParagraph"/>
        <w:numPr>
          <w:ilvl w:val="0"/>
          <w:numId w:val="6"/>
        </w:numPr>
        <w:spacing w:after="120"/>
        <w:rPr>
          <w:sz w:val="22"/>
          <w:szCs w:val="22"/>
        </w:rPr>
      </w:pPr>
      <w:r w:rsidRPr="0014205E">
        <w:rPr>
          <w:sz w:val="22"/>
          <w:szCs w:val="22"/>
        </w:rPr>
        <w:t xml:space="preserve">Use safer needle devices such as retractable </w:t>
      </w:r>
      <w:r w:rsidR="008C3607" w:rsidRPr="0014205E">
        <w:rPr>
          <w:sz w:val="22"/>
          <w:szCs w:val="22"/>
        </w:rPr>
        <w:t>devices</w:t>
      </w:r>
      <w:r w:rsidRPr="0014205E">
        <w:rPr>
          <w:sz w:val="22"/>
          <w:szCs w:val="22"/>
        </w:rPr>
        <w:t xml:space="preserve">, needle locking mechanisms, etc. </w:t>
      </w:r>
    </w:p>
    <w:p w14:paraId="79981C95" w14:textId="5C407F29" w:rsidR="006427F2" w:rsidRPr="0014205E" w:rsidRDefault="006427F2" w:rsidP="00AF3975">
      <w:pPr>
        <w:pStyle w:val="ListParagraph"/>
        <w:numPr>
          <w:ilvl w:val="0"/>
          <w:numId w:val="6"/>
        </w:numPr>
        <w:spacing w:after="120"/>
        <w:rPr>
          <w:sz w:val="22"/>
          <w:szCs w:val="22"/>
        </w:rPr>
      </w:pPr>
      <w:r w:rsidRPr="0014205E">
        <w:rPr>
          <w:sz w:val="22"/>
          <w:szCs w:val="22"/>
        </w:rPr>
        <w:t xml:space="preserve">Bending, recapping, removal of needles from syringes, or otherwise manipulating needles by hand is prohibited. If it is essential that a needle be recapped the use of a mechanical device or the one-handed scoop method must be used. This will require a lab-specific Needle Recapping &amp; Handling SOP. The lab must customize this SOP to </w:t>
      </w:r>
      <w:r w:rsidR="008C3607">
        <w:rPr>
          <w:sz w:val="22"/>
          <w:szCs w:val="22"/>
        </w:rPr>
        <w:t>describe</w:t>
      </w:r>
      <w:r w:rsidRPr="0014205E">
        <w:rPr>
          <w:sz w:val="22"/>
          <w:szCs w:val="22"/>
        </w:rPr>
        <w:t xml:space="preserve"> the reasons for recapping needles and how this procedure will be performed. </w:t>
      </w:r>
    </w:p>
    <w:p w14:paraId="5CA9A3D5" w14:textId="6638CEE8" w:rsidR="006427F2" w:rsidRPr="0014205E" w:rsidRDefault="006427F2" w:rsidP="00AF3975">
      <w:pPr>
        <w:pStyle w:val="ListParagraph"/>
        <w:numPr>
          <w:ilvl w:val="0"/>
          <w:numId w:val="6"/>
        </w:numPr>
        <w:spacing w:after="120"/>
        <w:rPr>
          <w:sz w:val="22"/>
          <w:szCs w:val="22"/>
        </w:rPr>
      </w:pPr>
      <w:r w:rsidRPr="0014205E">
        <w:rPr>
          <w:sz w:val="22"/>
          <w:szCs w:val="22"/>
        </w:rPr>
        <w:t xml:space="preserve">Sharps container must be located close to the area of use. </w:t>
      </w:r>
    </w:p>
    <w:p w14:paraId="3FA52DE6" w14:textId="0D0721F8" w:rsidR="006427F2" w:rsidRPr="0014205E" w:rsidRDefault="006427F2" w:rsidP="00AF3975">
      <w:pPr>
        <w:pStyle w:val="ListParagraph"/>
        <w:numPr>
          <w:ilvl w:val="0"/>
          <w:numId w:val="6"/>
        </w:numPr>
        <w:spacing w:after="120"/>
        <w:rPr>
          <w:sz w:val="22"/>
          <w:szCs w:val="22"/>
        </w:rPr>
      </w:pPr>
      <w:r w:rsidRPr="0014205E">
        <w:rPr>
          <w:sz w:val="22"/>
          <w:szCs w:val="22"/>
        </w:rPr>
        <w:t xml:space="preserve">Use a hard walled container containing </w:t>
      </w:r>
      <w:r w:rsidR="008C3607">
        <w:rPr>
          <w:sz w:val="22"/>
          <w:szCs w:val="22"/>
        </w:rPr>
        <w:t xml:space="preserve">a </w:t>
      </w:r>
      <w:r w:rsidRPr="0014205E">
        <w:rPr>
          <w:sz w:val="22"/>
          <w:szCs w:val="22"/>
        </w:rPr>
        <w:t xml:space="preserve">disinfectant for reusable needles such as Hamilton syringes. Do not place reusable needles in pans containing pipettes or other glassware in order to eliminate sorting later. </w:t>
      </w:r>
    </w:p>
    <w:p w14:paraId="7D810A47" w14:textId="223F7097" w:rsidR="006427F2" w:rsidRPr="0014205E" w:rsidRDefault="006427F2" w:rsidP="00AF3975">
      <w:pPr>
        <w:pStyle w:val="ListParagraph"/>
        <w:numPr>
          <w:ilvl w:val="0"/>
          <w:numId w:val="6"/>
        </w:numPr>
        <w:spacing w:after="120"/>
        <w:rPr>
          <w:sz w:val="22"/>
          <w:szCs w:val="22"/>
        </w:rPr>
      </w:pPr>
      <w:r w:rsidRPr="0014205E">
        <w:rPr>
          <w:sz w:val="22"/>
          <w:szCs w:val="22"/>
        </w:rPr>
        <w:t xml:space="preserve">Use approved puncture resistant sharps container for disposal. </w:t>
      </w:r>
    </w:p>
    <w:p w14:paraId="36FC386C" w14:textId="0336C3EC" w:rsidR="006427F2" w:rsidRPr="0014205E" w:rsidRDefault="006427F2" w:rsidP="00AF3975">
      <w:pPr>
        <w:pStyle w:val="ListParagraph"/>
        <w:numPr>
          <w:ilvl w:val="0"/>
          <w:numId w:val="6"/>
        </w:numPr>
        <w:spacing w:after="120"/>
        <w:rPr>
          <w:sz w:val="22"/>
          <w:szCs w:val="22"/>
        </w:rPr>
      </w:pPr>
      <w:r w:rsidRPr="0014205E">
        <w:rPr>
          <w:sz w:val="22"/>
          <w:szCs w:val="22"/>
        </w:rPr>
        <w:t xml:space="preserve">Broken glassware must not be handled directly. Instead, it must be removed using a brush and dustpan, tongs, forceps or by other mechanical means. </w:t>
      </w:r>
    </w:p>
    <w:p w14:paraId="6D0A0ACE" w14:textId="11D47F08" w:rsidR="006427F2" w:rsidRPr="0014205E" w:rsidRDefault="006427F2" w:rsidP="00AF3975">
      <w:pPr>
        <w:pStyle w:val="ListParagraph"/>
        <w:numPr>
          <w:ilvl w:val="0"/>
          <w:numId w:val="6"/>
        </w:numPr>
        <w:spacing w:after="120"/>
        <w:rPr>
          <w:sz w:val="22"/>
          <w:szCs w:val="22"/>
        </w:rPr>
      </w:pPr>
      <w:r w:rsidRPr="0014205E">
        <w:rPr>
          <w:sz w:val="22"/>
          <w:szCs w:val="22"/>
        </w:rPr>
        <w:t xml:space="preserve">Plasticware should be substituted for glassware whenever possible. </w:t>
      </w:r>
    </w:p>
    <w:p w14:paraId="2D8B2504" w14:textId="77777777" w:rsidR="00737D63" w:rsidRDefault="00737D63" w:rsidP="0014205E">
      <w:pPr>
        <w:spacing w:after="120"/>
        <w:rPr>
          <w:b/>
          <w:bCs/>
          <w:u w:val="single"/>
        </w:rPr>
      </w:pPr>
    </w:p>
    <w:p w14:paraId="777C23E6" w14:textId="2F3F6179" w:rsidR="006427F2" w:rsidRPr="009321E2" w:rsidRDefault="006427F2" w:rsidP="0014205E">
      <w:pPr>
        <w:spacing w:after="120"/>
      </w:pPr>
      <w:bookmarkStart w:id="40" w:name="BSC"/>
      <w:r w:rsidRPr="009321E2">
        <w:rPr>
          <w:b/>
          <w:bCs/>
          <w:u w:val="single"/>
        </w:rPr>
        <w:t>Biological Safety Cabinet</w:t>
      </w:r>
      <w:r w:rsidRPr="009321E2">
        <w:t xml:space="preserve"> </w:t>
      </w:r>
    </w:p>
    <w:bookmarkEnd w:id="40"/>
    <w:p w14:paraId="49BFEA91" w14:textId="5BA0D3D6" w:rsidR="00857517" w:rsidRPr="0014205E" w:rsidRDefault="006427F2" w:rsidP="0014205E">
      <w:pPr>
        <w:spacing w:after="120"/>
        <w:rPr>
          <w:sz w:val="22"/>
          <w:szCs w:val="22"/>
        </w:rPr>
      </w:pPr>
      <w:r w:rsidRPr="0014205E">
        <w:rPr>
          <w:sz w:val="22"/>
          <w:szCs w:val="22"/>
        </w:rPr>
        <w:t>The biological safety cabinet</w:t>
      </w:r>
      <w:r w:rsidR="000C36DF">
        <w:rPr>
          <w:sz w:val="22"/>
          <w:szCs w:val="22"/>
        </w:rPr>
        <w:t xml:space="preserve"> or biosafety cabinet</w:t>
      </w:r>
      <w:r w:rsidRPr="0014205E">
        <w:rPr>
          <w:sz w:val="22"/>
          <w:szCs w:val="22"/>
        </w:rPr>
        <w:t xml:space="preserve"> (BSC) is the primary engineering control used to provide product, personnel, and environmental protection from and for containment of infectious aerosols generated by many microbiological procedures. For work at BSL-2 aerosol generating procedures must be performed in a biosafety cabinet or other containment device. The biological safety cabinet must be disinfected with the appropriate disinfectant before and after each use. Reference link below for more information on biosafety cabinet use and placement: </w:t>
      </w:r>
    </w:p>
    <w:p w14:paraId="46EAEE2F" w14:textId="77777777" w:rsidR="00857517" w:rsidRPr="009A6126" w:rsidRDefault="006427F2" w:rsidP="00AF3975">
      <w:pPr>
        <w:pStyle w:val="ListParagraph"/>
        <w:numPr>
          <w:ilvl w:val="0"/>
          <w:numId w:val="7"/>
        </w:numPr>
        <w:spacing w:after="120"/>
        <w:rPr>
          <w:sz w:val="22"/>
          <w:szCs w:val="22"/>
        </w:rPr>
      </w:pPr>
      <w:r w:rsidRPr="009A6126">
        <w:rPr>
          <w:sz w:val="22"/>
          <w:szCs w:val="22"/>
        </w:rPr>
        <w:t xml:space="preserve">Working Safely in a Biological Safety Cabinet </w:t>
      </w:r>
    </w:p>
    <w:p w14:paraId="18442AFC" w14:textId="77777777" w:rsidR="00857517" w:rsidRPr="009A6126" w:rsidRDefault="006427F2" w:rsidP="00AF3975">
      <w:pPr>
        <w:pStyle w:val="ListParagraph"/>
        <w:numPr>
          <w:ilvl w:val="0"/>
          <w:numId w:val="7"/>
        </w:numPr>
        <w:spacing w:after="120"/>
        <w:rPr>
          <w:sz w:val="22"/>
          <w:szCs w:val="22"/>
        </w:rPr>
      </w:pPr>
      <w:r w:rsidRPr="009A6126">
        <w:rPr>
          <w:sz w:val="22"/>
          <w:szCs w:val="22"/>
        </w:rPr>
        <w:t xml:space="preserve">Placement of Biological Safety Cabinets </w:t>
      </w:r>
    </w:p>
    <w:p w14:paraId="130300BA" w14:textId="3DC06089" w:rsidR="006427F2" w:rsidRPr="009A6126" w:rsidRDefault="006427F2" w:rsidP="00AF3975">
      <w:pPr>
        <w:pStyle w:val="ListParagraph"/>
        <w:numPr>
          <w:ilvl w:val="0"/>
          <w:numId w:val="7"/>
        </w:numPr>
        <w:spacing w:after="120"/>
        <w:rPr>
          <w:sz w:val="22"/>
          <w:szCs w:val="22"/>
        </w:rPr>
      </w:pPr>
      <w:r w:rsidRPr="009A6126">
        <w:rPr>
          <w:sz w:val="22"/>
          <w:szCs w:val="22"/>
        </w:rPr>
        <w:t>Differences Between Laboratory Hoods</w:t>
      </w:r>
    </w:p>
    <w:p w14:paraId="2C8CFEC8" w14:textId="571AF2AB" w:rsidR="00857517" w:rsidRPr="0014205E" w:rsidRDefault="00857517" w:rsidP="0014205E">
      <w:pPr>
        <w:spacing w:after="120"/>
        <w:rPr>
          <w:sz w:val="22"/>
          <w:szCs w:val="22"/>
        </w:rPr>
      </w:pPr>
      <w:r w:rsidRPr="0014205E">
        <w:rPr>
          <w:sz w:val="22"/>
          <w:szCs w:val="22"/>
        </w:rPr>
        <w:t xml:space="preserve">WARNING: Never operate a </w:t>
      </w:r>
      <w:r w:rsidR="0092212B">
        <w:rPr>
          <w:sz w:val="22"/>
          <w:szCs w:val="22"/>
        </w:rPr>
        <w:t>biosafety cabinet</w:t>
      </w:r>
      <w:r w:rsidRPr="0014205E">
        <w:rPr>
          <w:sz w:val="22"/>
          <w:szCs w:val="22"/>
        </w:rPr>
        <w:t xml:space="preserve"> while a warning light or alarm is on. Call the Office of Safety at 701.777.3341 to service failing </w:t>
      </w:r>
      <w:r w:rsidR="0092212B">
        <w:rPr>
          <w:sz w:val="22"/>
          <w:szCs w:val="22"/>
        </w:rPr>
        <w:t>biosafety cabinets</w:t>
      </w:r>
      <w:r w:rsidRPr="0014205E">
        <w:rPr>
          <w:sz w:val="22"/>
          <w:szCs w:val="22"/>
        </w:rPr>
        <w:t>. Make sure that all biohazard materials are properly secured and notify the PI or Laboratory Manager.</w:t>
      </w:r>
    </w:p>
    <w:p w14:paraId="04A98DEA" w14:textId="77777777" w:rsidR="00737D63" w:rsidRDefault="00737D63" w:rsidP="0014205E">
      <w:pPr>
        <w:spacing w:after="120"/>
        <w:rPr>
          <w:b/>
          <w:bCs/>
          <w:u w:val="single"/>
        </w:rPr>
      </w:pPr>
    </w:p>
    <w:p w14:paraId="5E1D22DC" w14:textId="4E17DDEC" w:rsidR="009321E2" w:rsidRDefault="00857517" w:rsidP="0014205E">
      <w:pPr>
        <w:spacing w:after="120"/>
        <w:rPr>
          <w:sz w:val="22"/>
          <w:szCs w:val="22"/>
        </w:rPr>
      </w:pPr>
      <w:bookmarkStart w:id="41" w:name="Centrifuge"/>
      <w:r w:rsidRPr="009321E2">
        <w:rPr>
          <w:b/>
          <w:bCs/>
          <w:u w:val="single"/>
        </w:rPr>
        <w:t>Centrifuges</w:t>
      </w:r>
      <w:r w:rsidRPr="0014205E">
        <w:rPr>
          <w:sz w:val="22"/>
          <w:szCs w:val="22"/>
        </w:rPr>
        <w:t xml:space="preserve"> </w:t>
      </w:r>
    </w:p>
    <w:bookmarkEnd w:id="41"/>
    <w:p w14:paraId="7500799D" w14:textId="121864BA" w:rsidR="00857517" w:rsidRPr="0014205E" w:rsidRDefault="00857517" w:rsidP="0014205E">
      <w:pPr>
        <w:spacing w:after="120"/>
        <w:rPr>
          <w:sz w:val="22"/>
          <w:szCs w:val="22"/>
        </w:rPr>
      </w:pPr>
      <w:r w:rsidRPr="0014205E">
        <w:rPr>
          <w:sz w:val="22"/>
          <w:szCs w:val="22"/>
        </w:rPr>
        <w:t>Centrifugation of biohazardous material shall be done using centrifuge buckets with safety features such as biocontainment lids a</w:t>
      </w:r>
      <w:r w:rsidR="009A6126">
        <w:rPr>
          <w:sz w:val="22"/>
          <w:szCs w:val="22"/>
        </w:rPr>
        <w:t>.</w:t>
      </w:r>
      <w:r w:rsidRPr="0014205E">
        <w:rPr>
          <w:sz w:val="22"/>
          <w:szCs w:val="22"/>
        </w:rPr>
        <w:t>k</w:t>
      </w:r>
      <w:r w:rsidR="009A6126">
        <w:rPr>
          <w:sz w:val="22"/>
          <w:szCs w:val="22"/>
        </w:rPr>
        <w:t>.</w:t>
      </w:r>
      <w:r w:rsidRPr="0014205E">
        <w:rPr>
          <w:sz w:val="22"/>
          <w:szCs w:val="22"/>
        </w:rPr>
        <w:t>a</w:t>
      </w:r>
      <w:r w:rsidR="009A6126">
        <w:rPr>
          <w:sz w:val="22"/>
          <w:szCs w:val="22"/>
        </w:rPr>
        <w:t>.</w:t>
      </w:r>
      <w:r w:rsidRPr="0014205E">
        <w:rPr>
          <w:sz w:val="22"/>
          <w:szCs w:val="22"/>
        </w:rPr>
        <w:t xml:space="preserve"> safety cups/rotors with lids. If safety cups are not available an approved alternative method must be used such as a wait time. An SOP should be written for the alternative method to be used. Each person operating a centrifuge should be trained </w:t>
      </w:r>
      <w:r w:rsidR="008C3607" w:rsidRPr="0014205E">
        <w:rPr>
          <w:sz w:val="22"/>
          <w:szCs w:val="22"/>
        </w:rPr>
        <w:t>in</w:t>
      </w:r>
      <w:r w:rsidRPr="0014205E">
        <w:rPr>
          <w:sz w:val="22"/>
          <w:szCs w:val="22"/>
        </w:rPr>
        <w:t xml:space="preserve"> the proper operating procedures. Improperly used or maintained centrifuges can lead to equipment failures </w:t>
      </w:r>
      <w:r w:rsidRPr="0014205E">
        <w:rPr>
          <w:sz w:val="22"/>
          <w:szCs w:val="22"/>
        </w:rPr>
        <w:lastRenderedPageBreak/>
        <w:t xml:space="preserve">that present significant hazards to users. The high-speed spins generated by centrifuges can create large amounts of aerosol if a spill, leak, or tube breakage occurs. In the case of equipment failure, pieces of equipment can become projectiles causing injury to laboratory personnel and damage to the lab. The following procedures for centrifugation are recommended: </w:t>
      </w:r>
    </w:p>
    <w:p w14:paraId="5E2503D8" w14:textId="4C007D84" w:rsidR="00857517" w:rsidRPr="0014205E" w:rsidRDefault="00857517" w:rsidP="00AF3975">
      <w:pPr>
        <w:pStyle w:val="ListParagraph"/>
        <w:numPr>
          <w:ilvl w:val="0"/>
          <w:numId w:val="8"/>
        </w:numPr>
        <w:spacing w:after="120"/>
        <w:rPr>
          <w:sz w:val="22"/>
          <w:szCs w:val="22"/>
        </w:rPr>
      </w:pPr>
      <w:r w:rsidRPr="0014205E">
        <w:rPr>
          <w:sz w:val="22"/>
          <w:szCs w:val="22"/>
        </w:rPr>
        <w:t xml:space="preserve">Fill and decant all centrifuge tubes and bottles within the </w:t>
      </w:r>
      <w:r w:rsidR="0092212B">
        <w:rPr>
          <w:sz w:val="22"/>
          <w:szCs w:val="22"/>
        </w:rPr>
        <w:t>biosafety cabinet</w:t>
      </w:r>
      <w:r w:rsidRPr="0014205E">
        <w:rPr>
          <w:sz w:val="22"/>
          <w:szCs w:val="22"/>
        </w:rPr>
        <w:t xml:space="preserve">. Avoid filling tubes to the rim. </w:t>
      </w:r>
      <w:r w:rsidRPr="009A6126">
        <w:rPr>
          <w:b/>
          <w:bCs/>
          <w:i/>
          <w:iCs/>
          <w:sz w:val="22"/>
          <w:szCs w:val="22"/>
        </w:rPr>
        <w:t>The maximum for centrifuge tubes is ¾ full.</w:t>
      </w:r>
      <w:r w:rsidRPr="0014205E">
        <w:rPr>
          <w:sz w:val="22"/>
          <w:szCs w:val="22"/>
        </w:rPr>
        <w:t xml:space="preserve"> </w:t>
      </w:r>
    </w:p>
    <w:p w14:paraId="2D7DEB77" w14:textId="1BA92075" w:rsidR="00857517" w:rsidRPr="0014205E" w:rsidRDefault="00857517" w:rsidP="00AF3975">
      <w:pPr>
        <w:pStyle w:val="ListParagraph"/>
        <w:numPr>
          <w:ilvl w:val="0"/>
          <w:numId w:val="8"/>
        </w:numPr>
        <w:spacing w:after="120"/>
        <w:rPr>
          <w:sz w:val="22"/>
          <w:szCs w:val="22"/>
        </w:rPr>
      </w:pPr>
      <w:r w:rsidRPr="0014205E">
        <w:rPr>
          <w:sz w:val="22"/>
          <w:szCs w:val="22"/>
        </w:rPr>
        <w:t>Use screw top caps on centrifuge tubes</w:t>
      </w:r>
      <w:r w:rsidR="009A6126">
        <w:rPr>
          <w:sz w:val="22"/>
          <w:szCs w:val="22"/>
        </w:rPr>
        <w:t xml:space="preserve"> whenever possible</w:t>
      </w:r>
      <w:r w:rsidRPr="0014205E">
        <w:rPr>
          <w:sz w:val="22"/>
          <w:szCs w:val="22"/>
        </w:rPr>
        <w:t xml:space="preserve">. </w:t>
      </w:r>
    </w:p>
    <w:p w14:paraId="05410916" w14:textId="48251186" w:rsidR="00857517" w:rsidRPr="0014205E" w:rsidRDefault="00857517" w:rsidP="00AF3975">
      <w:pPr>
        <w:pStyle w:val="ListParagraph"/>
        <w:numPr>
          <w:ilvl w:val="0"/>
          <w:numId w:val="8"/>
        </w:numPr>
        <w:spacing w:after="120"/>
        <w:rPr>
          <w:sz w:val="22"/>
          <w:szCs w:val="22"/>
        </w:rPr>
      </w:pPr>
      <w:r w:rsidRPr="0014205E">
        <w:rPr>
          <w:sz w:val="22"/>
          <w:szCs w:val="22"/>
        </w:rPr>
        <w:t xml:space="preserve">Wipe </w:t>
      </w:r>
      <w:r w:rsidR="009A6126" w:rsidRPr="0014205E">
        <w:rPr>
          <w:sz w:val="22"/>
          <w:szCs w:val="22"/>
        </w:rPr>
        <w:t>the outside</w:t>
      </w:r>
      <w:r w:rsidRPr="0014205E">
        <w:rPr>
          <w:sz w:val="22"/>
          <w:szCs w:val="22"/>
        </w:rPr>
        <w:t xml:space="preserve"> of tubes with disinfectant before placing in safety cups or rotors. </w:t>
      </w:r>
    </w:p>
    <w:p w14:paraId="2C748AA3" w14:textId="4F145E30" w:rsidR="00857517" w:rsidRPr="0014205E" w:rsidRDefault="00857517" w:rsidP="00AF3975">
      <w:pPr>
        <w:pStyle w:val="ListParagraph"/>
        <w:numPr>
          <w:ilvl w:val="0"/>
          <w:numId w:val="8"/>
        </w:numPr>
        <w:spacing w:after="120"/>
        <w:rPr>
          <w:sz w:val="22"/>
          <w:szCs w:val="22"/>
        </w:rPr>
      </w:pPr>
      <w:r w:rsidRPr="0014205E">
        <w:rPr>
          <w:sz w:val="22"/>
          <w:szCs w:val="22"/>
        </w:rPr>
        <w:t xml:space="preserve">Load and unload samples inside of a biological safety cabinet. </w:t>
      </w:r>
    </w:p>
    <w:p w14:paraId="1C79A7D5" w14:textId="77777777" w:rsidR="00737D63" w:rsidRDefault="00737D63" w:rsidP="0014205E">
      <w:pPr>
        <w:spacing w:after="120"/>
        <w:rPr>
          <w:b/>
          <w:bCs/>
          <w:u w:val="single"/>
        </w:rPr>
      </w:pPr>
    </w:p>
    <w:p w14:paraId="60694892" w14:textId="61F73B81" w:rsidR="00857517" w:rsidRPr="009321E2" w:rsidRDefault="00857517" w:rsidP="0014205E">
      <w:pPr>
        <w:spacing w:after="120"/>
      </w:pPr>
      <w:bookmarkStart w:id="42" w:name="Blenders"/>
      <w:r w:rsidRPr="009321E2">
        <w:rPr>
          <w:b/>
          <w:bCs/>
          <w:u w:val="single"/>
        </w:rPr>
        <w:t xml:space="preserve">Blenders, Ultrasonic Disrupters, </w:t>
      </w:r>
      <w:r w:rsidR="00B267E9" w:rsidRPr="009321E2">
        <w:rPr>
          <w:b/>
          <w:bCs/>
          <w:u w:val="single"/>
        </w:rPr>
        <w:t>Grinders,</w:t>
      </w:r>
      <w:r w:rsidRPr="009321E2">
        <w:rPr>
          <w:b/>
          <w:bCs/>
          <w:u w:val="single"/>
        </w:rPr>
        <w:t xml:space="preserve"> and </w:t>
      </w:r>
      <w:r w:rsidR="008859DD" w:rsidRPr="009321E2">
        <w:rPr>
          <w:b/>
          <w:bCs/>
          <w:u w:val="single"/>
        </w:rPr>
        <w:t>Lyophilize</w:t>
      </w:r>
      <w:r w:rsidR="008859DD">
        <w:rPr>
          <w:b/>
          <w:bCs/>
          <w:u w:val="single"/>
        </w:rPr>
        <w:t>r</w:t>
      </w:r>
      <w:r w:rsidR="008859DD" w:rsidRPr="009321E2">
        <w:rPr>
          <w:b/>
          <w:bCs/>
          <w:u w:val="single"/>
        </w:rPr>
        <w:t>s</w:t>
      </w:r>
      <w:r w:rsidRPr="009321E2">
        <w:t xml:space="preserve"> </w:t>
      </w:r>
    </w:p>
    <w:bookmarkEnd w:id="42"/>
    <w:p w14:paraId="45ADB71D" w14:textId="6D09560F" w:rsidR="00857517" w:rsidRPr="0014205E" w:rsidRDefault="00857517" w:rsidP="0014205E">
      <w:pPr>
        <w:spacing w:after="120"/>
        <w:rPr>
          <w:sz w:val="22"/>
          <w:szCs w:val="22"/>
        </w:rPr>
      </w:pPr>
      <w:r w:rsidRPr="0014205E">
        <w:rPr>
          <w:sz w:val="22"/>
          <w:szCs w:val="22"/>
        </w:rPr>
        <w:t xml:space="preserve">The use of any of these devices results in considerable aerosol production. Blending, cell-disrupting, and grinding equipment must be used in a </w:t>
      </w:r>
      <w:r w:rsidR="0092212B">
        <w:rPr>
          <w:sz w:val="22"/>
          <w:szCs w:val="22"/>
        </w:rPr>
        <w:t>biosafety cabinet</w:t>
      </w:r>
      <w:r w:rsidRPr="0014205E">
        <w:rPr>
          <w:sz w:val="22"/>
          <w:szCs w:val="22"/>
        </w:rPr>
        <w:t xml:space="preserve"> when working with biohazardous materials. If the equipment does not fit inside of the </w:t>
      </w:r>
      <w:r w:rsidR="0092212B">
        <w:rPr>
          <w:sz w:val="22"/>
          <w:szCs w:val="22"/>
        </w:rPr>
        <w:t>biosafety cabinet</w:t>
      </w:r>
      <w:r w:rsidRPr="0014205E">
        <w:rPr>
          <w:sz w:val="22"/>
          <w:szCs w:val="22"/>
        </w:rPr>
        <w:t xml:space="preserve">, contact UND.safety@UND.edu to complete a risk assessment and create a hazard-mitigation plan. </w:t>
      </w:r>
    </w:p>
    <w:p w14:paraId="0DDE4ECA" w14:textId="77777777" w:rsidR="009A6126" w:rsidRDefault="009A6126" w:rsidP="0014205E">
      <w:pPr>
        <w:spacing w:after="120"/>
        <w:rPr>
          <w:b/>
          <w:bCs/>
          <w:u w:val="single"/>
        </w:rPr>
      </w:pPr>
    </w:p>
    <w:p w14:paraId="7EB8B15A" w14:textId="511E2E2D" w:rsidR="00857517" w:rsidRPr="009321E2" w:rsidRDefault="00857517" w:rsidP="0014205E">
      <w:pPr>
        <w:spacing w:after="120"/>
      </w:pPr>
      <w:bookmarkStart w:id="43" w:name="Microscopes"/>
      <w:r w:rsidRPr="009321E2">
        <w:rPr>
          <w:b/>
          <w:bCs/>
          <w:u w:val="single"/>
        </w:rPr>
        <w:t>Microscopes</w:t>
      </w:r>
      <w:bookmarkEnd w:id="43"/>
      <w:r w:rsidRPr="009321E2">
        <w:t xml:space="preserve"> </w:t>
      </w:r>
    </w:p>
    <w:p w14:paraId="372AE311" w14:textId="3FDE30A6" w:rsidR="00857517" w:rsidRPr="0014205E" w:rsidRDefault="00857517" w:rsidP="0014205E">
      <w:pPr>
        <w:spacing w:after="120"/>
        <w:rPr>
          <w:sz w:val="22"/>
          <w:szCs w:val="22"/>
        </w:rPr>
      </w:pPr>
      <w:r w:rsidRPr="0014205E">
        <w:rPr>
          <w:sz w:val="22"/>
          <w:szCs w:val="22"/>
        </w:rPr>
        <w:t xml:space="preserve">Tighten caps on flasks of infectious culture before </w:t>
      </w:r>
      <w:r w:rsidR="008C3607" w:rsidRPr="0014205E">
        <w:rPr>
          <w:sz w:val="22"/>
          <w:szCs w:val="22"/>
        </w:rPr>
        <w:t>transporting them</w:t>
      </w:r>
      <w:r w:rsidRPr="0014205E">
        <w:rPr>
          <w:sz w:val="22"/>
          <w:szCs w:val="22"/>
        </w:rPr>
        <w:t xml:space="preserve"> to the microscope. Infectious cultures in plates or other containers without tight fitting lids must be carried to the microscope in a sealed container. Disinfect the viewing platform of the microscope after each use.</w:t>
      </w:r>
    </w:p>
    <w:p w14:paraId="111CAFB1" w14:textId="77777777" w:rsidR="009A6126" w:rsidRDefault="009A6126" w:rsidP="0014205E">
      <w:pPr>
        <w:spacing w:after="120"/>
        <w:rPr>
          <w:b/>
          <w:bCs/>
          <w:u w:val="single"/>
        </w:rPr>
      </w:pPr>
    </w:p>
    <w:p w14:paraId="5CEDA91D" w14:textId="24815814" w:rsidR="00857517" w:rsidRPr="009321E2" w:rsidRDefault="00857517" w:rsidP="0014205E">
      <w:pPr>
        <w:spacing w:after="120"/>
      </w:pPr>
      <w:bookmarkStart w:id="44" w:name="Microtomes"/>
      <w:r w:rsidRPr="009321E2">
        <w:rPr>
          <w:b/>
          <w:bCs/>
          <w:u w:val="single"/>
        </w:rPr>
        <w:t>Microtomes</w:t>
      </w:r>
      <w:r w:rsidRPr="009321E2">
        <w:t xml:space="preserve"> </w:t>
      </w:r>
    </w:p>
    <w:bookmarkEnd w:id="44"/>
    <w:p w14:paraId="03AEBDCA" w14:textId="41CE70FA" w:rsidR="00857517" w:rsidRPr="0014205E" w:rsidRDefault="00857517" w:rsidP="0014205E">
      <w:pPr>
        <w:spacing w:after="120"/>
        <w:rPr>
          <w:sz w:val="22"/>
          <w:szCs w:val="22"/>
        </w:rPr>
      </w:pPr>
      <w:r w:rsidRPr="0014205E">
        <w:rPr>
          <w:sz w:val="22"/>
          <w:szCs w:val="22"/>
        </w:rPr>
        <w:t xml:space="preserve">Microtome blades are extremely sharp and must be handled with great care and stored safely when not in use. When changing the knife, stainless steel mesh gloves should be worn. If the knife projects beyond the sectioning area, a suitable guard must be fitted. Always carry the knife, in its case, to the microtome. Never leave the knife on a microtome. After use, always return the knife to its case or dispose of immediately. Slide </w:t>
      </w:r>
      <w:r w:rsidR="00F5479D" w:rsidRPr="0014205E">
        <w:rPr>
          <w:sz w:val="22"/>
          <w:szCs w:val="22"/>
        </w:rPr>
        <w:t xml:space="preserve">the </w:t>
      </w:r>
      <w:r w:rsidR="00F5479D">
        <w:rPr>
          <w:sz w:val="22"/>
          <w:szCs w:val="22"/>
        </w:rPr>
        <w:t>“</w:t>
      </w:r>
      <w:r w:rsidRPr="0014205E">
        <w:rPr>
          <w:sz w:val="22"/>
          <w:szCs w:val="22"/>
        </w:rPr>
        <w:t xml:space="preserve">back'' on to the knife before removing it. Disinfect the microtome by wiping with bleach or sodium hydroxide solution. </w:t>
      </w:r>
    </w:p>
    <w:p w14:paraId="612A0B42" w14:textId="77777777" w:rsidR="00737D63" w:rsidRDefault="00737D63" w:rsidP="0014205E">
      <w:pPr>
        <w:spacing w:after="120"/>
        <w:rPr>
          <w:b/>
          <w:bCs/>
          <w:u w:val="single"/>
        </w:rPr>
      </w:pPr>
    </w:p>
    <w:p w14:paraId="39C2FAAA" w14:textId="02285AA5" w:rsidR="00857517" w:rsidRPr="009321E2" w:rsidRDefault="00857517" w:rsidP="0014205E">
      <w:pPr>
        <w:spacing w:after="120"/>
      </w:pPr>
      <w:bookmarkStart w:id="45" w:name="Cryostats"/>
      <w:r w:rsidRPr="009321E2">
        <w:rPr>
          <w:b/>
          <w:bCs/>
          <w:u w:val="single"/>
        </w:rPr>
        <w:t>Cryostats</w:t>
      </w:r>
      <w:bookmarkEnd w:id="45"/>
      <w:r w:rsidRPr="009321E2">
        <w:t xml:space="preserve"> </w:t>
      </w:r>
    </w:p>
    <w:p w14:paraId="7B5AACA1" w14:textId="7CD13EB3" w:rsidR="00857517" w:rsidRPr="00F5479D" w:rsidRDefault="00857517" w:rsidP="00F5479D">
      <w:pPr>
        <w:spacing w:after="120"/>
        <w:rPr>
          <w:sz w:val="22"/>
          <w:szCs w:val="22"/>
        </w:rPr>
      </w:pPr>
      <w:r w:rsidRPr="00F5479D">
        <w:rPr>
          <w:sz w:val="22"/>
          <w:szCs w:val="22"/>
        </w:rPr>
        <w:t xml:space="preserve">Frozen sections of unfixed human tissue or animal tissue infected with a biohazardous material pose a risk of infection. Freezing tissue does not inactivate all biohazardous materials. </w:t>
      </w:r>
    </w:p>
    <w:p w14:paraId="19744558" w14:textId="2527A1E3" w:rsidR="00857517" w:rsidRPr="0014205E" w:rsidRDefault="00857517" w:rsidP="00AF3975">
      <w:pPr>
        <w:pStyle w:val="ListParagraph"/>
        <w:numPr>
          <w:ilvl w:val="0"/>
          <w:numId w:val="7"/>
        </w:numPr>
        <w:spacing w:after="120"/>
        <w:rPr>
          <w:sz w:val="22"/>
          <w:szCs w:val="22"/>
        </w:rPr>
      </w:pPr>
      <w:r w:rsidRPr="0014205E">
        <w:rPr>
          <w:sz w:val="22"/>
          <w:szCs w:val="22"/>
        </w:rPr>
        <w:t xml:space="preserve">Freezing propellants under pressure should not be used for frozen sections as they may cause spattering of droplets of infectious material. </w:t>
      </w:r>
    </w:p>
    <w:p w14:paraId="1AD9DAEC" w14:textId="014DB0BE" w:rsidR="00857517" w:rsidRPr="0014205E" w:rsidRDefault="00857517" w:rsidP="00AF3975">
      <w:pPr>
        <w:pStyle w:val="ListParagraph"/>
        <w:numPr>
          <w:ilvl w:val="0"/>
          <w:numId w:val="7"/>
        </w:numPr>
        <w:spacing w:after="120"/>
        <w:rPr>
          <w:sz w:val="22"/>
          <w:szCs w:val="22"/>
        </w:rPr>
      </w:pPr>
      <w:r w:rsidRPr="0014205E">
        <w:rPr>
          <w:sz w:val="22"/>
          <w:szCs w:val="22"/>
        </w:rPr>
        <w:t xml:space="preserve">Gloves should be worn during preparation of frozen sections. </w:t>
      </w:r>
    </w:p>
    <w:p w14:paraId="32483B2C" w14:textId="7F8ED7FF" w:rsidR="00857517" w:rsidRPr="0014205E" w:rsidRDefault="00857517" w:rsidP="00AF3975">
      <w:pPr>
        <w:pStyle w:val="ListParagraph"/>
        <w:numPr>
          <w:ilvl w:val="0"/>
          <w:numId w:val="7"/>
        </w:numPr>
        <w:spacing w:after="120"/>
        <w:rPr>
          <w:sz w:val="22"/>
          <w:szCs w:val="22"/>
        </w:rPr>
      </w:pPr>
      <w:r w:rsidRPr="0014205E">
        <w:rPr>
          <w:sz w:val="22"/>
          <w:szCs w:val="22"/>
        </w:rPr>
        <w:lastRenderedPageBreak/>
        <w:t xml:space="preserve">Consider the contents of the cryostat, including trimmings and sections of tissue, to be contaminated and decontaminate it frequently with 70% ethanol. </w:t>
      </w:r>
    </w:p>
    <w:p w14:paraId="2830A5DA" w14:textId="022E4C76" w:rsidR="00857517" w:rsidRPr="0014205E" w:rsidRDefault="00857517" w:rsidP="00AF3975">
      <w:pPr>
        <w:pStyle w:val="ListParagraph"/>
        <w:numPr>
          <w:ilvl w:val="0"/>
          <w:numId w:val="7"/>
        </w:numPr>
        <w:spacing w:after="120"/>
        <w:rPr>
          <w:sz w:val="22"/>
          <w:szCs w:val="22"/>
        </w:rPr>
      </w:pPr>
      <w:r w:rsidRPr="0014205E">
        <w:rPr>
          <w:sz w:val="22"/>
          <w:szCs w:val="22"/>
        </w:rPr>
        <w:t xml:space="preserve">Remove trimmings and sections with forceps during decontamination. </w:t>
      </w:r>
    </w:p>
    <w:p w14:paraId="4EB917A3" w14:textId="6E4D06F2" w:rsidR="00857517" w:rsidRPr="0014205E" w:rsidRDefault="00857517" w:rsidP="00AF3975">
      <w:pPr>
        <w:pStyle w:val="ListParagraph"/>
        <w:numPr>
          <w:ilvl w:val="0"/>
          <w:numId w:val="7"/>
        </w:numPr>
        <w:spacing w:after="120"/>
        <w:rPr>
          <w:sz w:val="22"/>
          <w:szCs w:val="22"/>
        </w:rPr>
      </w:pPr>
      <w:r w:rsidRPr="0014205E">
        <w:rPr>
          <w:sz w:val="22"/>
          <w:szCs w:val="22"/>
        </w:rPr>
        <w:t xml:space="preserve">Defrost and decontaminate the cryostat with a tuberculocidal disinfectant as needed. </w:t>
      </w:r>
    </w:p>
    <w:p w14:paraId="68188D1E" w14:textId="6EC22795" w:rsidR="00857517" w:rsidRPr="0014205E" w:rsidRDefault="00857517" w:rsidP="00AF3975">
      <w:pPr>
        <w:pStyle w:val="ListParagraph"/>
        <w:numPr>
          <w:ilvl w:val="0"/>
          <w:numId w:val="7"/>
        </w:numPr>
        <w:spacing w:after="120"/>
        <w:rPr>
          <w:sz w:val="22"/>
          <w:szCs w:val="22"/>
        </w:rPr>
      </w:pPr>
      <w:r w:rsidRPr="0014205E">
        <w:rPr>
          <w:sz w:val="22"/>
          <w:szCs w:val="22"/>
        </w:rPr>
        <w:t xml:space="preserve">Handle knives with extreme care. Stainless steel mesh gloves should be worn when changing knife blades. </w:t>
      </w:r>
    </w:p>
    <w:p w14:paraId="60F1094C" w14:textId="77777777" w:rsidR="00737D63" w:rsidRDefault="00737D63" w:rsidP="0014205E">
      <w:pPr>
        <w:spacing w:after="120"/>
        <w:rPr>
          <w:b/>
          <w:bCs/>
          <w:u w:val="single"/>
        </w:rPr>
      </w:pPr>
    </w:p>
    <w:p w14:paraId="138F3E32" w14:textId="24FEE056" w:rsidR="00857517" w:rsidRPr="009321E2" w:rsidRDefault="00857517" w:rsidP="0014205E">
      <w:pPr>
        <w:spacing w:after="120"/>
      </w:pPr>
      <w:bookmarkStart w:id="46" w:name="Bunsen"/>
      <w:r w:rsidRPr="009321E2">
        <w:rPr>
          <w:b/>
          <w:bCs/>
          <w:u w:val="single"/>
        </w:rPr>
        <w:t>Bunsen Burners (on bench top)</w:t>
      </w:r>
      <w:r w:rsidRPr="009321E2">
        <w:t xml:space="preserve"> </w:t>
      </w:r>
    </w:p>
    <w:bookmarkEnd w:id="46"/>
    <w:p w14:paraId="1E9FC2B1" w14:textId="10EA9CD4" w:rsidR="00857517" w:rsidRPr="0014205E" w:rsidRDefault="00857517" w:rsidP="0014205E">
      <w:pPr>
        <w:spacing w:after="120"/>
        <w:rPr>
          <w:sz w:val="22"/>
          <w:szCs w:val="22"/>
        </w:rPr>
      </w:pPr>
      <w:r w:rsidRPr="0014205E">
        <w:rPr>
          <w:sz w:val="22"/>
          <w:szCs w:val="22"/>
        </w:rPr>
        <w:t xml:space="preserve">Bunsen burners used on the bench for sterilization of inoculating loops or needles must be handled with care to ensure safe use. </w:t>
      </w:r>
    </w:p>
    <w:p w14:paraId="0816591F" w14:textId="49855440" w:rsidR="00857517" w:rsidRPr="0014205E" w:rsidRDefault="00857517" w:rsidP="00AF3975">
      <w:pPr>
        <w:pStyle w:val="ListParagraph"/>
        <w:numPr>
          <w:ilvl w:val="0"/>
          <w:numId w:val="7"/>
        </w:numPr>
        <w:spacing w:after="120"/>
        <w:rPr>
          <w:sz w:val="22"/>
          <w:szCs w:val="22"/>
        </w:rPr>
      </w:pPr>
      <w:r w:rsidRPr="0014205E">
        <w:rPr>
          <w:sz w:val="22"/>
          <w:szCs w:val="22"/>
        </w:rPr>
        <w:t xml:space="preserve">If using alcohol, stabilize the alcohol container so that it cannot tip over. </w:t>
      </w:r>
    </w:p>
    <w:p w14:paraId="37B69953" w14:textId="61F776AE" w:rsidR="00857517" w:rsidRPr="0014205E" w:rsidRDefault="00857517" w:rsidP="00AF3975">
      <w:pPr>
        <w:pStyle w:val="ListParagraph"/>
        <w:numPr>
          <w:ilvl w:val="0"/>
          <w:numId w:val="7"/>
        </w:numPr>
        <w:spacing w:after="120"/>
        <w:rPr>
          <w:sz w:val="22"/>
          <w:szCs w:val="22"/>
        </w:rPr>
      </w:pPr>
      <w:r w:rsidRPr="0014205E">
        <w:rPr>
          <w:sz w:val="22"/>
          <w:szCs w:val="22"/>
        </w:rPr>
        <w:t xml:space="preserve">Reduce the amount of flammable chemicals, equipment, and supplies in the work area. Use only enough alcohol for the experiment or technique. </w:t>
      </w:r>
    </w:p>
    <w:p w14:paraId="44B87278" w14:textId="2D270628" w:rsidR="00857517" w:rsidRPr="0014205E" w:rsidRDefault="00857517" w:rsidP="00AF3975">
      <w:pPr>
        <w:pStyle w:val="ListParagraph"/>
        <w:numPr>
          <w:ilvl w:val="0"/>
          <w:numId w:val="7"/>
        </w:numPr>
        <w:spacing w:after="120"/>
        <w:rPr>
          <w:sz w:val="22"/>
          <w:szCs w:val="22"/>
        </w:rPr>
      </w:pPr>
      <w:r w:rsidRPr="0014205E">
        <w:rPr>
          <w:sz w:val="22"/>
          <w:szCs w:val="22"/>
        </w:rPr>
        <w:t xml:space="preserve">Have a “snuffing” lid available in case the alcohol in the container catches fire. Water is not a good choice for putting out fires. </w:t>
      </w:r>
    </w:p>
    <w:p w14:paraId="4D618305" w14:textId="3C2CFD6C" w:rsidR="00857517" w:rsidRPr="0014205E" w:rsidRDefault="00857517" w:rsidP="00AF3975">
      <w:pPr>
        <w:pStyle w:val="ListParagraph"/>
        <w:numPr>
          <w:ilvl w:val="0"/>
          <w:numId w:val="7"/>
        </w:numPr>
        <w:spacing w:after="120"/>
        <w:rPr>
          <w:sz w:val="22"/>
          <w:szCs w:val="22"/>
        </w:rPr>
      </w:pPr>
      <w:r w:rsidRPr="0014205E">
        <w:rPr>
          <w:sz w:val="22"/>
          <w:szCs w:val="22"/>
        </w:rPr>
        <w:t xml:space="preserve">If you smell gas, turn off the exterior gas valve and wait until the gas has fully dissipated before lighting any flames. </w:t>
      </w:r>
    </w:p>
    <w:p w14:paraId="4C939C1A" w14:textId="77777777" w:rsidR="00857517" w:rsidRPr="0014205E" w:rsidRDefault="00857517" w:rsidP="0014205E">
      <w:pPr>
        <w:spacing w:after="120"/>
        <w:rPr>
          <w:sz w:val="22"/>
          <w:szCs w:val="22"/>
        </w:rPr>
      </w:pPr>
      <w:r w:rsidRPr="0014205E">
        <w:rPr>
          <w:sz w:val="22"/>
          <w:szCs w:val="22"/>
        </w:rPr>
        <w:t xml:space="preserve">In place of Bunsen burners, consider using a shielded electric incinerator or hot bead sterilizer. Disposable plastic loops and needles are also good alternatives to reduce generation of aerosols. </w:t>
      </w:r>
    </w:p>
    <w:p w14:paraId="58AAB03A" w14:textId="77777777" w:rsidR="00737D63" w:rsidRDefault="00737D63" w:rsidP="0014205E">
      <w:pPr>
        <w:spacing w:after="120"/>
        <w:rPr>
          <w:b/>
          <w:bCs/>
          <w:u w:val="single"/>
        </w:rPr>
      </w:pPr>
    </w:p>
    <w:p w14:paraId="6AFBCCB1" w14:textId="19FEA272" w:rsidR="00857517" w:rsidRPr="009321E2" w:rsidRDefault="00857517" w:rsidP="0014205E">
      <w:pPr>
        <w:spacing w:after="120"/>
        <w:rPr>
          <w:b/>
          <w:bCs/>
          <w:u w:val="single"/>
        </w:rPr>
      </w:pPr>
      <w:bookmarkStart w:id="47" w:name="OpenFlameinBSC"/>
      <w:r w:rsidRPr="009321E2">
        <w:rPr>
          <w:b/>
          <w:bCs/>
          <w:u w:val="single"/>
        </w:rPr>
        <w:t xml:space="preserve">Open Flames in Biosafety Cabinets </w:t>
      </w:r>
    </w:p>
    <w:bookmarkEnd w:id="47"/>
    <w:p w14:paraId="6B08F626" w14:textId="171A5E8C" w:rsidR="00857517" w:rsidRPr="0014205E" w:rsidRDefault="00857517" w:rsidP="0014205E">
      <w:pPr>
        <w:spacing w:after="120"/>
        <w:rPr>
          <w:sz w:val="22"/>
          <w:szCs w:val="22"/>
        </w:rPr>
      </w:pPr>
      <w:r w:rsidRPr="0014205E">
        <w:rPr>
          <w:b/>
          <w:bCs/>
          <w:i/>
          <w:iCs/>
          <w:sz w:val="22"/>
          <w:szCs w:val="22"/>
        </w:rPr>
        <w:t>Open flames inside a biosafety cabinet are NOT permitted.</w:t>
      </w:r>
      <w:r w:rsidRPr="0014205E">
        <w:rPr>
          <w:sz w:val="22"/>
          <w:szCs w:val="22"/>
        </w:rPr>
        <w:t xml:space="preserve"> Open flames create airflow turbulence that may compromise sterility and worker </w:t>
      </w:r>
      <w:r w:rsidR="00F5479D" w:rsidRPr="0014205E">
        <w:rPr>
          <w:sz w:val="22"/>
          <w:szCs w:val="22"/>
        </w:rPr>
        <w:t>protection,</w:t>
      </w:r>
      <w:r w:rsidRPr="0014205E">
        <w:rPr>
          <w:sz w:val="22"/>
          <w:szCs w:val="22"/>
        </w:rPr>
        <w:t xml:space="preserve"> and heat buildup may damage the HEPA filters. Open flames are extremely dangerous around flammable materials, such as ethanol, which is often found in </w:t>
      </w:r>
      <w:r w:rsidR="0092212B">
        <w:rPr>
          <w:sz w:val="22"/>
          <w:szCs w:val="22"/>
        </w:rPr>
        <w:t>biosafety cabinet</w:t>
      </w:r>
      <w:r w:rsidRPr="0014205E">
        <w:rPr>
          <w:sz w:val="22"/>
          <w:szCs w:val="22"/>
        </w:rPr>
        <w:t xml:space="preserve">s. Follow these tips for avoiding fires in your </w:t>
      </w:r>
      <w:r w:rsidR="0092212B">
        <w:rPr>
          <w:sz w:val="22"/>
          <w:szCs w:val="22"/>
        </w:rPr>
        <w:t>biosafety cabinet</w:t>
      </w:r>
      <w:r w:rsidRPr="0014205E">
        <w:rPr>
          <w:sz w:val="22"/>
          <w:szCs w:val="22"/>
        </w:rPr>
        <w:t xml:space="preserve">: </w:t>
      </w:r>
    </w:p>
    <w:p w14:paraId="66DCE610" w14:textId="5B4E3882" w:rsidR="00857517" w:rsidRPr="0014205E" w:rsidRDefault="00857517" w:rsidP="00AF3975">
      <w:pPr>
        <w:pStyle w:val="ListParagraph"/>
        <w:numPr>
          <w:ilvl w:val="0"/>
          <w:numId w:val="7"/>
        </w:numPr>
        <w:spacing w:after="120"/>
        <w:rPr>
          <w:sz w:val="22"/>
          <w:szCs w:val="22"/>
        </w:rPr>
      </w:pPr>
      <w:r w:rsidRPr="0014205E">
        <w:rPr>
          <w:sz w:val="22"/>
          <w:szCs w:val="22"/>
        </w:rPr>
        <w:t xml:space="preserve">Use disposable pre-sterilized loops and spreaders. </w:t>
      </w:r>
    </w:p>
    <w:p w14:paraId="37A423E6" w14:textId="77777777" w:rsidR="00857517" w:rsidRPr="0014205E" w:rsidRDefault="00857517" w:rsidP="00AF3975">
      <w:pPr>
        <w:pStyle w:val="ListParagraph"/>
        <w:numPr>
          <w:ilvl w:val="0"/>
          <w:numId w:val="7"/>
        </w:numPr>
        <w:spacing w:after="120"/>
        <w:rPr>
          <w:sz w:val="22"/>
          <w:szCs w:val="22"/>
        </w:rPr>
      </w:pPr>
      <w:r w:rsidRPr="0014205E">
        <w:rPr>
          <w:sz w:val="22"/>
          <w:szCs w:val="22"/>
        </w:rPr>
        <w:t xml:space="preserve">Replace Bunsen burners with alternative technology such as electric loop sterilizers, shielded electric incinerator, or hot bead sterilizer. </w:t>
      </w:r>
    </w:p>
    <w:p w14:paraId="1722666E" w14:textId="77777777" w:rsidR="00737D63" w:rsidRDefault="00737D63" w:rsidP="009321E2">
      <w:pPr>
        <w:spacing w:after="120"/>
        <w:rPr>
          <w:b/>
          <w:bCs/>
          <w:u w:val="single"/>
        </w:rPr>
      </w:pPr>
    </w:p>
    <w:p w14:paraId="29FFC689" w14:textId="27377F7B" w:rsidR="00857517" w:rsidRPr="009321E2" w:rsidRDefault="00857517" w:rsidP="009321E2">
      <w:pPr>
        <w:spacing w:after="120"/>
        <w:rPr>
          <w:b/>
          <w:bCs/>
          <w:u w:val="single"/>
        </w:rPr>
      </w:pPr>
      <w:bookmarkStart w:id="48" w:name="EquipMaint"/>
      <w:r w:rsidRPr="009321E2">
        <w:rPr>
          <w:b/>
          <w:bCs/>
          <w:u w:val="single"/>
        </w:rPr>
        <w:t xml:space="preserve">Equipment Maintenance </w:t>
      </w:r>
    </w:p>
    <w:bookmarkEnd w:id="48"/>
    <w:p w14:paraId="70666AFA" w14:textId="562B82B7" w:rsidR="00857517" w:rsidRPr="0014205E" w:rsidRDefault="00857517" w:rsidP="00AF3975">
      <w:pPr>
        <w:pStyle w:val="ListParagraph"/>
        <w:numPr>
          <w:ilvl w:val="0"/>
          <w:numId w:val="9"/>
        </w:numPr>
        <w:spacing w:after="120"/>
        <w:ind w:left="360"/>
        <w:rPr>
          <w:sz w:val="22"/>
          <w:szCs w:val="22"/>
        </w:rPr>
      </w:pPr>
      <w:r w:rsidRPr="0014205E">
        <w:rPr>
          <w:sz w:val="22"/>
          <w:szCs w:val="22"/>
        </w:rPr>
        <w:t xml:space="preserve">Autoclaves, centrifuges, biological safety cabinets, and fume hoods should undergo regular preventative maintenance by qualified personnel. </w:t>
      </w:r>
    </w:p>
    <w:p w14:paraId="68657ECA" w14:textId="0BD7B60A" w:rsidR="00857517" w:rsidRPr="0014205E" w:rsidRDefault="00857517" w:rsidP="00AF3975">
      <w:pPr>
        <w:pStyle w:val="ListParagraph"/>
        <w:numPr>
          <w:ilvl w:val="0"/>
          <w:numId w:val="9"/>
        </w:numPr>
        <w:spacing w:after="120"/>
        <w:ind w:left="360"/>
        <w:rPr>
          <w:sz w:val="22"/>
          <w:szCs w:val="22"/>
        </w:rPr>
      </w:pPr>
      <w:r w:rsidRPr="0014205E">
        <w:rPr>
          <w:sz w:val="22"/>
          <w:szCs w:val="22"/>
        </w:rPr>
        <w:t xml:space="preserve">Biosafety cabinets must be certified annually by </w:t>
      </w:r>
      <w:r w:rsidR="004541AA" w:rsidRPr="0014205E">
        <w:rPr>
          <w:sz w:val="22"/>
          <w:szCs w:val="22"/>
        </w:rPr>
        <w:t>Office of Safety</w:t>
      </w:r>
      <w:r w:rsidRPr="0014205E">
        <w:rPr>
          <w:sz w:val="22"/>
          <w:szCs w:val="22"/>
        </w:rPr>
        <w:t xml:space="preserve">. </w:t>
      </w:r>
      <w:r w:rsidR="004541AA" w:rsidRPr="0014205E">
        <w:rPr>
          <w:sz w:val="22"/>
          <w:szCs w:val="22"/>
        </w:rPr>
        <w:t>Technicians</w:t>
      </w:r>
      <w:r w:rsidRPr="0014205E">
        <w:rPr>
          <w:sz w:val="22"/>
          <w:szCs w:val="22"/>
        </w:rPr>
        <w:t xml:space="preserve"> will place a certification sticker onto the cabinet which includes the date the current certification expires. </w:t>
      </w:r>
    </w:p>
    <w:p w14:paraId="0BFBAFCB" w14:textId="11BF2E2D" w:rsidR="004541AA" w:rsidRPr="0014205E" w:rsidRDefault="004541AA" w:rsidP="00AF3975">
      <w:pPr>
        <w:pStyle w:val="ListParagraph"/>
        <w:numPr>
          <w:ilvl w:val="0"/>
          <w:numId w:val="9"/>
        </w:numPr>
        <w:spacing w:after="120"/>
        <w:ind w:left="360"/>
        <w:rPr>
          <w:sz w:val="22"/>
          <w:szCs w:val="22"/>
        </w:rPr>
      </w:pPr>
      <w:r w:rsidRPr="0014205E">
        <w:rPr>
          <w:sz w:val="22"/>
          <w:szCs w:val="22"/>
        </w:rPr>
        <w:lastRenderedPageBreak/>
        <w:t xml:space="preserve">Fume hoods certified every </w:t>
      </w:r>
      <w:r w:rsidR="008C3607" w:rsidRPr="0014205E">
        <w:rPr>
          <w:sz w:val="22"/>
          <w:szCs w:val="22"/>
        </w:rPr>
        <w:t>18 months</w:t>
      </w:r>
      <w:r w:rsidRPr="0014205E">
        <w:rPr>
          <w:sz w:val="22"/>
          <w:szCs w:val="22"/>
        </w:rPr>
        <w:t xml:space="preserve"> by Office of Safety. Technicians will place a certification sticker onto the cabinet which includes the date the current certification expires. </w:t>
      </w:r>
    </w:p>
    <w:p w14:paraId="0D704C25" w14:textId="0D989922" w:rsidR="004541AA" w:rsidRPr="0014205E" w:rsidRDefault="00857517" w:rsidP="00AF3975">
      <w:pPr>
        <w:pStyle w:val="ListParagraph"/>
        <w:numPr>
          <w:ilvl w:val="0"/>
          <w:numId w:val="9"/>
        </w:numPr>
        <w:spacing w:after="120"/>
        <w:ind w:left="360"/>
        <w:rPr>
          <w:sz w:val="22"/>
          <w:szCs w:val="22"/>
        </w:rPr>
      </w:pPr>
      <w:r w:rsidRPr="0014205E">
        <w:rPr>
          <w:sz w:val="22"/>
          <w:szCs w:val="22"/>
        </w:rPr>
        <w:t xml:space="preserve">Contact </w:t>
      </w:r>
      <w:r w:rsidR="004541AA" w:rsidRPr="0014205E">
        <w:rPr>
          <w:sz w:val="22"/>
          <w:szCs w:val="22"/>
        </w:rPr>
        <w:t>the Office of Safety</w:t>
      </w:r>
      <w:r w:rsidRPr="0014205E">
        <w:rPr>
          <w:sz w:val="22"/>
          <w:szCs w:val="22"/>
        </w:rPr>
        <w:t xml:space="preserve"> to </w:t>
      </w:r>
      <w:r w:rsidR="00F5479D">
        <w:rPr>
          <w:sz w:val="22"/>
          <w:szCs w:val="22"/>
        </w:rPr>
        <w:t>schedule</w:t>
      </w:r>
      <w:r w:rsidRPr="0014205E">
        <w:rPr>
          <w:sz w:val="22"/>
          <w:szCs w:val="22"/>
        </w:rPr>
        <w:t xml:space="preserve"> certification or maintenance.</w:t>
      </w:r>
      <w:r w:rsidR="004541AA" w:rsidRPr="0014205E">
        <w:rPr>
          <w:sz w:val="22"/>
          <w:szCs w:val="22"/>
        </w:rPr>
        <w:t xml:space="preserve"> </w:t>
      </w:r>
    </w:p>
    <w:p w14:paraId="073FC8E4" w14:textId="7550605B" w:rsidR="004541AA" w:rsidRPr="0014205E" w:rsidRDefault="004541AA" w:rsidP="00AF3975">
      <w:pPr>
        <w:pStyle w:val="ListParagraph"/>
        <w:numPr>
          <w:ilvl w:val="0"/>
          <w:numId w:val="9"/>
        </w:numPr>
        <w:spacing w:after="120"/>
        <w:ind w:left="360"/>
        <w:rPr>
          <w:sz w:val="22"/>
          <w:szCs w:val="22"/>
        </w:rPr>
      </w:pPr>
      <w:r w:rsidRPr="0014205E">
        <w:rPr>
          <w:sz w:val="22"/>
          <w:szCs w:val="22"/>
        </w:rPr>
        <w:t>If cabinets are not functioning correctly or</w:t>
      </w:r>
      <w:r w:rsidR="00F5479D">
        <w:rPr>
          <w:sz w:val="22"/>
          <w:szCs w:val="22"/>
        </w:rPr>
        <w:t xml:space="preserve"> are</w:t>
      </w:r>
      <w:r w:rsidRPr="0014205E">
        <w:rPr>
          <w:sz w:val="22"/>
          <w:szCs w:val="22"/>
        </w:rPr>
        <w:t xml:space="preserve"> past certification</w:t>
      </w:r>
      <w:r w:rsidR="00F5479D">
        <w:rPr>
          <w:sz w:val="22"/>
          <w:szCs w:val="22"/>
        </w:rPr>
        <w:t xml:space="preserve"> date</w:t>
      </w:r>
      <w:r w:rsidRPr="0014205E">
        <w:rPr>
          <w:sz w:val="22"/>
          <w:szCs w:val="22"/>
        </w:rPr>
        <w:t xml:space="preserve"> </w:t>
      </w:r>
      <w:r w:rsidRPr="0014205E">
        <w:rPr>
          <w:b/>
          <w:bCs/>
          <w:sz w:val="22"/>
          <w:szCs w:val="22"/>
        </w:rPr>
        <w:t>DO NOT</w:t>
      </w:r>
      <w:r w:rsidRPr="0014205E">
        <w:rPr>
          <w:sz w:val="22"/>
          <w:szCs w:val="22"/>
        </w:rPr>
        <w:t xml:space="preserve"> use and contact the Office of Safety.</w:t>
      </w:r>
    </w:p>
    <w:p w14:paraId="40784792" w14:textId="6BF46B93" w:rsidR="00857517" w:rsidRPr="0014205E" w:rsidRDefault="004541AA" w:rsidP="00AF3975">
      <w:pPr>
        <w:pStyle w:val="ListParagraph"/>
        <w:numPr>
          <w:ilvl w:val="0"/>
          <w:numId w:val="9"/>
        </w:numPr>
        <w:spacing w:after="120"/>
        <w:ind w:left="360"/>
        <w:rPr>
          <w:sz w:val="22"/>
          <w:szCs w:val="22"/>
        </w:rPr>
      </w:pPr>
      <w:r w:rsidRPr="0014205E">
        <w:rPr>
          <w:sz w:val="22"/>
          <w:szCs w:val="22"/>
        </w:rPr>
        <w:t>Preventative maintenance records should be kept on all equipment.</w:t>
      </w:r>
    </w:p>
    <w:p w14:paraId="7582C684" w14:textId="77777777" w:rsidR="00737D63" w:rsidRDefault="00737D63" w:rsidP="009321E2">
      <w:pPr>
        <w:spacing w:after="120"/>
        <w:rPr>
          <w:b/>
          <w:bCs/>
          <w:u w:val="single"/>
        </w:rPr>
      </w:pPr>
    </w:p>
    <w:p w14:paraId="3776B99F" w14:textId="1DC04E26" w:rsidR="004541AA" w:rsidRPr="009321E2" w:rsidRDefault="004541AA" w:rsidP="009321E2">
      <w:pPr>
        <w:spacing w:after="120"/>
      </w:pPr>
      <w:bookmarkStart w:id="49" w:name="OtherHazards"/>
      <w:r w:rsidRPr="009321E2">
        <w:rPr>
          <w:b/>
          <w:bCs/>
          <w:u w:val="single"/>
        </w:rPr>
        <w:t>Other Hazards</w:t>
      </w:r>
      <w:r w:rsidRPr="009321E2">
        <w:t xml:space="preserve"> </w:t>
      </w:r>
    </w:p>
    <w:bookmarkEnd w:id="49"/>
    <w:p w14:paraId="23E554A0" w14:textId="77777777" w:rsidR="004541AA" w:rsidRPr="0014205E" w:rsidRDefault="004541AA" w:rsidP="0014205E">
      <w:pPr>
        <w:spacing w:after="120"/>
        <w:rPr>
          <w:b/>
          <w:bCs/>
          <w:sz w:val="22"/>
          <w:szCs w:val="22"/>
        </w:rPr>
      </w:pPr>
      <w:r w:rsidRPr="0014205E">
        <w:rPr>
          <w:b/>
          <w:bCs/>
          <w:sz w:val="22"/>
          <w:szCs w:val="22"/>
        </w:rPr>
        <w:t xml:space="preserve">Dry Ice </w:t>
      </w:r>
    </w:p>
    <w:p w14:paraId="758BC6C9" w14:textId="3C05F6D4" w:rsidR="004541AA" w:rsidRPr="0014205E" w:rsidRDefault="004541AA" w:rsidP="0014205E">
      <w:pPr>
        <w:spacing w:after="120"/>
        <w:rPr>
          <w:sz w:val="22"/>
          <w:szCs w:val="22"/>
        </w:rPr>
      </w:pPr>
      <w:r w:rsidRPr="0014205E">
        <w:rPr>
          <w:sz w:val="22"/>
          <w:szCs w:val="22"/>
        </w:rPr>
        <w:t xml:space="preserve">Dry ice is the solid form of carbon dioxide, non-combustible, and is available in flakes, </w:t>
      </w:r>
      <w:r w:rsidR="00B267E9" w:rsidRPr="0014205E">
        <w:rPr>
          <w:sz w:val="22"/>
          <w:szCs w:val="22"/>
        </w:rPr>
        <w:t>pellets,</w:t>
      </w:r>
      <w:r w:rsidRPr="0014205E">
        <w:rPr>
          <w:sz w:val="22"/>
          <w:szCs w:val="22"/>
        </w:rPr>
        <w:t xml:space="preserve"> or block form. It will sublime (vaporize directly to the gas state) at a temperature of –78.5C (-109.3 F) or higher. Dry ice is purchased from a commercial manufacturer. Dry ice is commonly used to cool reactions or to ship biological specimens. All U</w:t>
      </w:r>
      <w:r w:rsidR="00F5479D">
        <w:rPr>
          <w:sz w:val="22"/>
          <w:szCs w:val="22"/>
        </w:rPr>
        <w:t>ND</w:t>
      </w:r>
      <w:r w:rsidRPr="0014205E">
        <w:rPr>
          <w:sz w:val="22"/>
          <w:szCs w:val="22"/>
        </w:rPr>
        <w:t xml:space="preserve"> laboratory personnel must follow the safe storage, usage, and handling of dry ice. U</w:t>
      </w:r>
      <w:r w:rsidR="00F5479D">
        <w:rPr>
          <w:sz w:val="22"/>
          <w:szCs w:val="22"/>
        </w:rPr>
        <w:t>ND</w:t>
      </w:r>
      <w:r w:rsidRPr="0014205E">
        <w:rPr>
          <w:sz w:val="22"/>
          <w:szCs w:val="22"/>
        </w:rPr>
        <w:t xml:space="preserve"> la</w:t>
      </w:r>
      <w:r w:rsidR="00F5479D">
        <w:rPr>
          <w:sz w:val="22"/>
          <w:szCs w:val="22"/>
        </w:rPr>
        <w:t>bo</w:t>
      </w:r>
      <w:r w:rsidRPr="0014205E">
        <w:rPr>
          <w:sz w:val="22"/>
          <w:szCs w:val="22"/>
        </w:rPr>
        <w:t xml:space="preserve">ratory personnel responsible for shipping packages containing dry ice must be properly trained according to Department of Transportation (DOT) and International Air Transport Association (IATA) Regulations. </w:t>
      </w:r>
    </w:p>
    <w:p w14:paraId="7249E7D3" w14:textId="77777777" w:rsidR="004541AA" w:rsidRPr="0014205E" w:rsidRDefault="004541AA" w:rsidP="00AF3975">
      <w:pPr>
        <w:pStyle w:val="ListParagraph"/>
        <w:numPr>
          <w:ilvl w:val="0"/>
          <w:numId w:val="10"/>
        </w:numPr>
        <w:spacing w:after="120"/>
        <w:rPr>
          <w:b/>
          <w:bCs/>
          <w:sz w:val="22"/>
          <w:szCs w:val="22"/>
        </w:rPr>
      </w:pPr>
      <w:r w:rsidRPr="0014205E">
        <w:rPr>
          <w:b/>
          <w:bCs/>
          <w:sz w:val="22"/>
          <w:szCs w:val="22"/>
        </w:rPr>
        <w:t xml:space="preserve">Storage </w:t>
      </w:r>
    </w:p>
    <w:p w14:paraId="12FE85C0" w14:textId="77777777" w:rsidR="004541AA" w:rsidRPr="0014205E" w:rsidRDefault="004541AA" w:rsidP="00AF3975">
      <w:pPr>
        <w:pStyle w:val="ListParagraph"/>
        <w:numPr>
          <w:ilvl w:val="1"/>
          <w:numId w:val="10"/>
        </w:numPr>
        <w:spacing w:after="120"/>
        <w:rPr>
          <w:sz w:val="22"/>
          <w:szCs w:val="22"/>
        </w:rPr>
      </w:pPr>
      <w:r w:rsidRPr="0014205E">
        <w:rPr>
          <w:sz w:val="22"/>
          <w:szCs w:val="22"/>
        </w:rPr>
        <w:t xml:space="preserve">Dry ice is to be stored in a well-ventilated location and placed in a Styrofoam chest, insulated cooler, or a special cooler designed for the storage of dry ice. </w:t>
      </w:r>
    </w:p>
    <w:p w14:paraId="20658A0E" w14:textId="5EC84F1E" w:rsidR="004541AA" w:rsidRPr="0014205E" w:rsidRDefault="004541AA" w:rsidP="00AF3975">
      <w:pPr>
        <w:pStyle w:val="ListParagraph"/>
        <w:numPr>
          <w:ilvl w:val="1"/>
          <w:numId w:val="10"/>
        </w:numPr>
        <w:spacing w:after="120"/>
        <w:rPr>
          <w:sz w:val="22"/>
          <w:szCs w:val="22"/>
        </w:rPr>
      </w:pPr>
      <w:r w:rsidRPr="0014205E">
        <w:rPr>
          <w:sz w:val="22"/>
          <w:szCs w:val="22"/>
        </w:rPr>
        <w:t xml:space="preserve">Because of the thermal expansion of dry ice (one pound of dry ice produces about 250 liters of gaseous carbon dioxide), sufficient gaseous carbon dioxide can be released in a sealed container to cause an explosion. Dry ice is NEVER to be stored in any type of tightly sealed </w:t>
      </w:r>
      <w:r w:rsidR="00F5479D" w:rsidRPr="0014205E">
        <w:rPr>
          <w:sz w:val="22"/>
          <w:szCs w:val="22"/>
        </w:rPr>
        <w:t>device</w:t>
      </w:r>
      <w:r w:rsidRPr="0014205E">
        <w:rPr>
          <w:sz w:val="22"/>
          <w:szCs w:val="22"/>
        </w:rPr>
        <w:t xml:space="preserve"> such as an ultra-low freezer or plastic/glass container. </w:t>
      </w:r>
    </w:p>
    <w:p w14:paraId="4ECAC415" w14:textId="502C2105" w:rsidR="004541AA" w:rsidRPr="0014205E" w:rsidRDefault="004541AA" w:rsidP="00AF3975">
      <w:pPr>
        <w:pStyle w:val="ListParagraph"/>
        <w:numPr>
          <w:ilvl w:val="1"/>
          <w:numId w:val="10"/>
        </w:numPr>
        <w:spacing w:after="120"/>
        <w:rPr>
          <w:sz w:val="22"/>
          <w:szCs w:val="22"/>
        </w:rPr>
      </w:pPr>
      <w:r w:rsidRPr="0014205E">
        <w:rPr>
          <w:sz w:val="22"/>
          <w:szCs w:val="22"/>
        </w:rPr>
        <w:t xml:space="preserve">Dry ice will sublimate about five to ten pounds every 24 hours (blocks last longer) in a typical storage cooler. Plan </w:t>
      </w:r>
      <w:r w:rsidR="00DE030D" w:rsidRPr="0014205E">
        <w:rPr>
          <w:sz w:val="22"/>
          <w:szCs w:val="22"/>
        </w:rPr>
        <w:t>to purchase</w:t>
      </w:r>
      <w:r w:rsidRPr="0014205E">
        <w:rPr>
          <w:sz w:val="22"/>
          <w:szCs w:val="22"/>
        </w:rPr>
        <w:t xml:space="preserve"> dry ice as close as possible to the time needed. </w:t>
      </w:r>
    </w:p>
    <w:p w14:paraId="1BAD7466" w14:textId="77777777" w:rsidR="004541AA" w:rsidRPr="0014205E" w:rsidRDefault="004541AA" w:rsidP="00AF3975">
      <w:pPr>
        <w:pStyle w:val="ListParagraph"/>
        <w:numPr>
          <w:ilvl w:val="1"/>
          <w:numId w:val="10"/>
        </w:numPr>
        <w:spacing w:after="120"/>
        <w:rPr>
          <w:sz w:val="22"/>
          <w:szCs w:val="22"/>
        </w:rPr>
      </w:pPr>
      <w:r w:rsidRPr="0014205E">
        <w:rPr>
          <w:sz w:val="22"/>
          <w:szCs w:val="22"/>
        </w:rPr>
        <w:t xml:space="preserve">Normal air is composed of 78% nitrogen, 21% oxygen, and only 0.04% carbon dioxide. Concentrations greater than 0.5% (5000 ppm) can become dangerous. Therefore, handle dry ice in well-ventilated locations. </w:t>
      </w:r>
    </w:p>
    <w:p w14:paraId="7214ACBD" w14:textId="77777777" w:rsidR="004541AA" w:rsidRPr="0014205E" w:rsidRDefault="004541AA" w:rsidP="00AF3975">
      <w:pPr>
        <w:pStyle w:val="ListParagraph"/>
        <w:numPr>
          <w:ilvl w:val="0"/>
          <w:numId w:val="10"/>
        </w:numPr>
        <w:spacing w:after="120"/>
        <w:rPr>
          <w:b/>
          <w:bCs/>
          <w:sz w:val="22"/>
          <w:szCs w:val="22"/>
        </w:rPr>
      </w:pPr>
      <w:r w:rsidRPr="0014205E">
        <w:rPr>
          <w:b/>
          <w:bCs/>
          <w:sz w:val="22"/>
          <w:szCs w:val="22"/>
        </w:rPr>
        <w:t xml:space="preserve">Hazards/Precautions: </w:t>
      </w:r>
    </w:p>
    <w:p w14:paraId="43619888" w14:textId="77777777" w:rsidR="004541AA" w:rsidRPr="0014205E" w:rsidRDefault="004541AA" w:rsidP="00AF3975">
      <w:pPr>
        <w:pStyle w:val="ListParagraph"/>
        <w:numPr>
          <w:ilvl w:val="1"/>
          <w:numId w:val="10"/>
        </w:numPr>
        <w:spacing w:after="120"/>
        <w:rPr>
          <w:sz w:val="22"/>
          <w:szCs w:val="22"/>
        </w:rPr>
      </w:pPr>
      <w:r w:rsidRPr="00F5479D">
        <w:rPr>
          <w:sz w:val="22"/>
          <w:szCs w:val="22"/>
          <w:u w:val="single"/>
        </w:rPr>
        <w:t>Burns/frostbite</w:t>
      </w:r>
      <w:r w:rsidRPr="0014205E">
        <w:rPr>
          <w:sz w:val="22"/>
          <w:szCs w:val="22"/>
        </w:rPr>
        <w:t xml:space="preserve">: Dry ice can cause burns to the skin in a short period. Thermal gloves are to be used if it is necessary to handle dry ice. </w:t>
      </w:r>
    </w:p>
    <w:p w14:paraId="1D97B796" w14:textId="54A63714" w:rsidR="004541AA" w:rsidRPr="0014205E" w:rsidRDefault="004541AA" w:rsidP="00AF3975">
      <w:pPr>
        <w:pStyle w:val="ListParagraph"/>
        <w:numPr>
          <w:ilvl w:val="1"/>
          <w:numId w:val="10"/>
        </w:numPr>
        <w:spacing w:after="120"/>
        <w:rPr>
          <w:sz w:val="22"/>
          <w:szCs w:val="22"/>
        </w:rPr>
      </w:pPr>
      <w:r w:rsidRPr="00F5479D">
        <w:rPr>
          <w:sz w:val="22"/>
          <w:szCs w:val="22"/>
          <w:u w:val="single"/>
        </w:rPr>
        <w:t>Suffocation</w:t>
      </w:r>
      <w:r w:rsidRPr="0014205E">
        <w:rPr>
          <w:sz w:val="22"/>
          <w:szCs w:val="22"/>
        </w:rPr>
        <w:t>: Carbon dioxide is a simple asphyxiant. Always store dry ice in a well-ventilated area to minimize the build</w:t>
      </w:r>
      <w:r w:rsidR="00F5479D">
        <w:rPr>
          <w:sz w:val="22"/>
          <w:szCs w:val="22"/>
        </w:rPr>
        <w:t>-</w:t>
      </w:r>
      <w:r w:rsidRPr="0014205E">
        <w:rPr>
          <w:sz w:val="22"/>
          <w:szCs w:val="22"/>
        </w:rPr>
        <w:t xml:space="preserve">up of carbon dioxide. Personnel must use caution should dry ice be stored in a deep cooler. Personnel must never stick </w:t>
      </w:r>
      <w:r w:rsidR="00F5479D" w:rsidRPr="0014205E">
        <w:rPr>
          <w:sz w:val="22"/>
          <w:szCs w:val="22"/>
        </w:rPr>
        <w:t>their</w:t>
      </w:r>
      <w:r w:rsidRPr="0014205E">
        <w:rPr>
          <w:sz w:val="22"/>
          <w:szCs w:val="22"/>
        </w:rPr>
        <w:t xml:space="preserve"> head into the chest to obtain the dry ice. </w:t>
      </w:r>
    </w:p>
    <w:p w14:paraId="7498D0A0" w14:textId="20042103" w:rsidR="004541AA" w:rsidRPr="0014205E" w:rsidRDefault="004541AA" w:rsidP="00AF3975">
      <w:pPr>
        <w:pStyle w:val="ListParagraph"/>
        <w:numPr>
          <w:ilvl w:val="1"/>
          <w:numId w:val="10"/>
        </w:numPr>
        <w:spacing w:after="120"/>
        <w:rPr>
          <w:sz w:val="22"/>
          <w:szCs w:val="22"/>
        </w:rPr>
      </w:pPr>
      <w:r w:rsidRPr="00F5479D">
        <w:rPr>
          <w:sz w:val="22"/>
          <w:szCs w:val="22"/>
          <w:u w:val="single"/>
        </w:rPr>
        <w:t>Explosions</w:t>
      </w:r>
      <w:r w:rsidRPr="0014205E">
        <w:rPr>
          <w:sz w:val="22"/>
          <w:szCs w:val="22"/>
        </w:rPr>
        <w:t xml:space="preserve">: Placing dry ice into a tightly sealed container can permit sufficient gas </w:t>
      </w:r>
      <w:r w:rsidR="00F5479D" w:rsidRPr="0014205E">
        <w:rPr>
          <w:sz w:val="22"/>
          <w:szCs w:val="22"/>
        </w:rPr>
        <w:t>to build</w:t>
      </w:r>
      <w:r w:rsidRPr="0014205E">
        <w:rPr>
          <w:sz w:val="22"/>
          <w:szCs w:val="22"/>
        </w:rPr>
        <w:t xml:space="preserve"> up to cause an explosion. Never place dry ice inside an ultra-low freezer or other enclosed space. </w:t>
      </w:r>
    </w:p>
    <w:p w14:paraId="137B2824" w14:textId="77777777" w:rsidR="004541AA" w:rsidRPr="0014205E" w:rsidRDefault="004541AA" w:rsidP="00AF3975">
      <w:pPr>
        <w:pStyle w:val="ListParagraph"/>
        <w:numPr>
          <w:ilvl w:val="1"/>
          <w:numId w:val="10"/>
        </w:numPr>
        <w:spacing w:after="120"/>
        <w:rPr>
          <w:sz w:val="22"/>
          <w:szCs w:val="22"/>
        </w:rPr>
      </w:pPr>
      <w:r w:rsidRPr="0014205E">
        <w:rPr>
          <w:sz w:val="22"/>
          <w:szCs w:val="22"/>
        </w:rPr>
        <w:lastRenderedPageBreak/>
        <w:t xml:space="preserve">Placement of dry ice in rooms with little or no ventilation can result in a build-up of the carbon dioxide in the area. Do not store dry ice in a confined area such as walk-in coolers, refrigerators, freezers, closets, or cars/vans. </w:t>
      </w:r>
    </w:p>
    <w:p w14:paraId="0514E67F" w14:textId="3327EC54" w:rsidR="004541AA" w:rsidRPr="0014205E" w:rsidRDefault="004541AA" w:rsidP="00AF3975">
      <w:pPr>
        <w:pStyle w:val="ListParagraph"/>
        <w:numPr>
          <w:ilvl w:val="1"/>
          <w:numId w:val="10"/>
        </w:numPr>
        <w:spacing w:after="120"/>
        <w:rPr>
          <w:sz w:val="22"/>
          <w:szCs w:val="22"/>
        </w:rPr>
      </w:pPr>
      <w:r w:rsidRPr="0014205E">
        <w:rPr>
          <w:sz w:val="22"/>
          <w:szCs w:val="22"/>
        </w:rPr>
        <w:t xml:space="preserve">When using dry ice to ship materials, the shipper must abide </w:t>
      </w:r>
      <w:r w:rsidR="00F5479D" w:rsidRPr="0014205E">
        <w:rPr>
          <w:sz w:val="22"/>
          <w:szCs w:val="22"/>
        </w:rPr>
        <w:t>by</w:t>
      </w:r>
      <w:r w:rsidRPr="0014205E">
        <w:rPr>
          <w:sz w:val="22"/>
          <w:szCs w:val="22"/>
        </w:rPr>
        <w:t xml:space="preserve"> all applicable shipping regulations. </w:t>
      </w:r>
    </w:p>
    <w:p w14:paraId="50F45D02" w14:textId="1717BF5C" w:rsidR="004541AA" w:rsidRPr="0014205E" w:rsidRDefault="004541AA" w:rsidP="00AF3975">
      <w:pPr>
        <w:pStyle w:val="ListParagraph"/>
        <w:numPr>
          <w:ilvl w:val="0"/>
          <w:numId w:val="10"/>
        </w:numPr>
        <w:spacing w:after="120"/>
        <w:rPr>
          <w:b/>
          <w:bCs/>
          <w:sz w:val="22"/>
          <w:szCs w:val="22"/>
        </w:rPr>
      </w:pPr>
      <w:r w:rsidRPr="0014205E">
        <w:rPr>
          <w:b/>
          <w:bCs/>
          <w:sz w:val="22"/>
          <w:szCs w:val="22"/>
        </w:rPr>
        <w:t xml:space="preserve">Disposal </w:t>
      </w:r>
    </w:p>
    <w:p w14:paraId="32DB033B" w14:textId="11A833AA" w:rsidR="004541AA" w:rsidRPr="0014205E" w:rsidRDefault="004541AA" w:rsidP="00AF3975">
      <w:pPr>
        <w:pStyle w:val="ListParagraph"/>
        <w:numPr>
          <w:ilvl w:val="1"/>
          <w:numId w:val="10"/>
        </w:numPr>
        <w:spacing w:after="120"/>
        <w:rPr>
          <w:sz w:val="22"/>
          <w:szCs w:val="22"/>
        </w:rPr>
      </w:pPr>
      <w:r w:rsidRPr="0014205E">
        <w:rPr>
          <w:sz w:val="22"/>
          <w:szCs w:val="22"/>
        </w:rPr>
        <w:t>Dispose unneeded dry ice by letting the unused portion sublimate</w:t>
      </w:r>
      <w:r w:rsidR="00F5479D">
        <w:rPr>
          <w:sz w:val="22"/>
          <w:szCs w:val="22"/>
        </w:rPr>
        <w:t>.</w:t>
      </w:r>
      <w:r w:rsidRPr="0014205E">
        <w:rPr>
          <w:sz w:val="22"/>
          <w:szCs w:val="22"/>
        </w:rPr>
        <w:t xml:space="preserve"> </w:t>
      </w:r>
      <w:r w:rsidR="00F5479D">
        <w:rPr>
          <w:sz w:val="22"/>
          <w:szCs w:val="22"/>
        </w:rPr>
        <w:t>It is r</w:t>
      </w:r>
      <w:r w:rsidRPr="0014205E">
        <w:rPr>
          <w:sz w:val="22"/>
          <w:szCs w:val="22"/>
        </w:rPr>
        <w:t xml:space="preserve">ecommended </w:t>
      </w:r>
      <w:r w:rsidR="00F5479D">
        <w:rPr>
          <w:sz w:val="22"/>
          <w:szCs w:val="22"/>
        </w:rPr>
        <w:t>that this is done in a</w:t>
      </w:r>
      <w:r w:rsidRPr="0014205E">
        <w:rPr>
          <w:sz w:val="22"/>
          <w:szCs w:val="22"/>
        </w:rPr>
        <w:t xml:space="preserve"> </w:t>
      </w:r>
      <w:r w:rsidR="006A7D20" w:rsidRPr="0014205E">
        <w:rPr>
          <w:sz w:val="22"/>
          <w:szCs w:val="22"/>
        </w:rPr>
        <w:t>well-ventilated location</w:t>
      </w:r>
      <w:r w:rsidRPr="0014205E">
        <w:rPr>
          <w:sz w:val="22"/>
          <w:szCs w:val="22"/>
        </w:rPr>
        <w:t xml:space="preserve"> because it will occur over a period of several days and the ventilation will take care of the gas liberated. </w:t>
      </w:r>
    </w:p>
    <w:p w14:paraId="34643EEB" w14:textId="5A205C38" w:rsidR="004541AA" w:rsidRPr="0014205E" w:rsidRDefault="004541AA" w:rsidP="00AF3975">
      <w:pPr>
        <w:pStyle w:val="ListParagraph"/>
        <w:numPr>
          <w:ilvl w:val="1"/>
          <w:numId w:val="10"/>
        </w:numPr>
        <w:spacing w:after="120"/>
        <w:rPr>
          <w:sz w:val="22"/>
          <w:szCs w:val="22"/>
        </w:rPr>
      </w:pPr>
      <w:r w:rsidRPr="0014205E">
        <w:rPr>
          <w:sz w:val="22"/>
          <w:szCs w:val="22"/>
        </w:rPr>
        <w:t xml:space="preserve">NEVER dispose of dry ice in a sink, </w:t>
      </w:r>
      <w:r w:rsidR="00B267E9" w:rsidRPr="0014205E">
        <w:rPr>
          <w:sz w:val="22"/>
          <w:szCs w:val="22"/>
        </w:rPr>
        <w:t>toilet,</w:t>
      </w:r>
      <w:r w:rsidRPr="0014205E">
        <w:rPr>
          <w:sz w:val="22"/>
          <w:szCs w:val="22"/>
        </w:rPr>
        <w:t xml:space="preserve"> or other drain (such action can destroy the structure because of the temperature difference).</w:t>
      </w:r>
    </w:p>
    <w:p w14:paraId="6D27068B" w14:textId="77777777" w:rsidR="004541AA" w:rsidRPr="0014205E" w:rsidRDefault="004541AA" w:rsidP="00AF3975">
      <w:pPr>
        <w:pStyle w:val="ListParagraph"/>
        <w:numPr>
          <w:ilvl w:val="1"/>
          <w:numId w:val="10"/>
        </w:numPr>
        <w:spacing w:after="120"/>
        <w:rPr>
          <w:sz w:val="22"/>
          <w:szCs w:val="22"/>
        </w:rPr>
      </w:pPr>
      <w:r w:rsidRPr="0014205E">
        <w:rPr>
          <w:sz w:val="22"/>
          <w:szCs w:val="22"/>
        </w:rPr>
        <w:t>NEVER dispose of dry ice in the trash or garbage.</w:t>
      </w:r>
    </w:p>
    <w:p w14:paraId="2F538CD7" w14:textId="6C272E45" w:rsidR="004541AA" w:rsidRPr="0014205E" w:rsidRDefault="004541AA" w:rsidP="00AF3975">
      <w:pPr>
        <w:pStyle w:val="ListParagraph"/>
        <w:numPr>
          <w:ilvl w:val="1"/>
          <w:numId w:val="10"/>
        </w:numPr>
        <w:spacing w:after="120"/>
        <w:rPr>
          <w:sz w:val="22"/>
          <w:szCs w:val="22"/>
        </w:rPr>
      </w:pPr>
      <w:r w:rsidRPr="0014205E">
        <w:rPr>
          <w:sz w:val="22"/>
          <w:szCs w:val="22"/>
        </w:rPr>
        <w:t xml:space="preserve">NEVER place unneeded dry ice in corridors (some corridors may not be well </w:t>
      </w:r>
      <w:r w:rsidR="006A7D20" w:rsidRPr="0014205E">
        <w:rPr>
          <w:sz w:val="22"/>
          <w:szCs w:val="22"/>
        </w:rPr>
        <w:t>ventilated,</w:t>
      </w:r>
      <w:r w:rsidRPr="0014205E">
        <w:rPr>
          <w:sz w:val="22"/>
          <w:szCs w:val="22"/>
        </w:rPr>
        <w:t xml:space="preserve"> and the oxygen level can be reduced to low levels).</w:t>
      </w:r>
    </w:p>
    <w:p w14:paraId="39BD6D39" w14:textId="77777777" w:rsidR="004541AA" w:rsidRPr="0014205E" w:rsidRDefault="004541AA" w:rsidP="0014205E">
      <w:pPr>
        <w:spacing w:after="120"/>
        <w:rPr>
          <w:sz w:val="22"/>
          <w:szCs w:val="22"/>
        </w:rPr>
      </w:pPr>
      <w:r w:rsidRPr="0014205E">
        <w:rPr>
          <w:b/>
          <w:bCs/>
          <w:sz w:val="22"/>
          <w:szCs w:val="22"/>
        </w:rPr>
        <w:t>Ultraviolet Light</w:t>
      </w:r>
      <w:r w:rsidRPr="0014205E">
        <w:rPr>
          <w:sz w:val="22"/>
          <w:szCs w:val="22"/>
        </w:rPr>
        <w:t xml:space="preserve"> </w:t>
      </w:r>
    </w:p>
    <w:p w14:paraId="20ADB8A3" w14:textId="084D9CCF" w:rsidR="004541AA" w:rsidRPr="0014205E" w:rsidRDefault="004541AA" w:rsidP="0014205E">
      <w:pPr>
        <w:spacing w:after="120"/>
        <w:rPr>
          <w:sz w:val="22"/>
          <w:szCs w:val="22"/>
        </w:rPr>
      </w:pPr>
      <w:r w:rsidRPr="0014205E">
        <w:rPr>
          <w:sz w:val="22"/>
          <w:szCs w:val="22"/>
        </w:rPr>
        <w:t xml:space="preserve">The Center for Disease Control (CDC) and the National Institutes of Health (NIH) agree that UV lamps are not recommended nor required in a </w:t>
      </w:r>
      <w:r w:rsidR="0092212B">
        <w:rPr>
          <w:sz w:val="22"/>
          <w:szCs w:val="22"/>
        </w:rPr>
        <w:t>biosafety cabinet</w:t>
      </w:r>
      <w:r w:rsidRPr="0014205E">
        <w:rPr>
          <w:sz w:val="22"/>
          <w:szCs w:val="22"/>
        </w:rPr>
        <w:t xml:space="preserve">. Proper use and cleaning of </w:t>
      </w:r>
      <w:r w:rsidR="000C36DF">
        <w:rPr>
          <w:sz w:val="22"/>
          <w:szCs w:val="22"/>
        </w:rPr>
        <w:t>biosafety cabinets</w:t>
      </w:r>
      <w:r w:rsidRPr="0014205E">
        <w:rPr>
          <w:sz w:val="22"/>
          <w:szCs w:val="22"/>
        </w:rPr>
        <w:t xml:space="preserve"> negates any need for the use of UV lamps, which require regular cleaning, maintenance, and monitoring for germicidal activity. If the laboratory decides to use UV lamps, the following protective measures must be adhered to: </w:t>
      </w:r>
    </w:p>
    <w:p w14:paraId="2EE30A78" w14:textId="3C84AE32" w:rsidR="004541AA" w:rsidRPr="0014205E" w:rsidRDefault="004541AA" w:rsidP="00AF3975">
      <w:pPr>
        <w:pStyle w:val="ListParagraph"/>
        <w:numPr>
          <w:ilvl w:val="0"/>
          <w:numId w:val="11"/>
        </w:numPr>
        <w:spacing w:after="120"/>
        <w:rPr>
          <w:sz w:val="22"/>
          <w:szCs w:val="22"/>
        </w:rPr>
      </w:pPr>
      <w:r w:rsidRPr="0014205E">
        <w:rPr>
          <w:sz w:val="22"/>
          <w:szCs w:val="22"/>
        </w:rPr>
        <w:t xml:space="preserve">UV lamps must be turned off when the room is occupied to protect eyes and skin from UV exposure, which can burn the cornea and cause skin cancer. </w:t>
      </w:r>
    </w:p>
    <w:p w14:paraId="0AFB2EF2" w14:textId="3F1E2550" w:rsidR="004541AA" w:rsidRPr="0014205E" w:rsidRDefault="004541AA" w:rsidP="00AF3975">
      <w:pPr>
        <w:pStyle w:val="ListParagraph"/>
        <w:numPr>
          <w:ilvl w:val="0"/>
          <w:numId w:val="11"/>
        </w:numPr>
        <w:spacing w:after="120"/>
        <w:rPr>
          <w:sz w:val="22"/>
          <w:szCs w:val="22"/>
        </w:rPr>
      </w:pPr>
      <w:r w:rsidRPr="0014205E">
        <w:rPr>
          <w:sz w:val="22"/>
          <w:szCs w:val="22"/>
        </w:rPr>
        <w:t>Laboratory personnel must wear a protective face shield and cover exposed skin. If using fluorescent microscopes, determine whether laboratory personnel using the microscope and anyone else in the room must wear protective goggles or glasses.</w:t>
      </w:r>
    </w:p>
    <w:p w14:paraId="15F703D0" w14:textId="77777777" w:rsidR="008569C9" w:rsidRPr="008569C9" w:rsidRDefault="008569C9" w:rsidP="0014205E">
      <w:pPr>
        <w:spacing w:after="120"/>
        <w:rPr>
          <w:b/>
          <w:bCs/>
          <w:sz w:val="18"/>
          <w:szCs w:val="18"/>
          <w:u w:val="single"/>
        </w:rPr>
      </w:pPr>
    </w:p>
    <w:p w14:paraId="0056666E" w14:textId="15D48B77" w:rsidR="004541AA" w:rsidRPr="009321E2" w:rsidRDefault="004541AA" w:rsidP="0014205E">
      <w:pPr>
        <w:spacing w:after="120"/>
      </w:pPr>
      <w:bookmarkStart w:id="50" w:name="CleaningandDecontam"/>
      <w:r w:rsidRPr="009321E2">
        <w:rPr>
          <w:b/>
          <w:bCs/>
          <w:u w:val="single"/>
        </w:rPr>
        <w:t>Cleaning and Decontamination</w:t>
      </w:r>
      <w:r w:rsidRPr="009321E2">
        <w:t xml:space="preserve"> </w:t>
      </w:r>
    </w:p>
    <w:bookmarkEnd w:id="50"/>
    <w:p w14:paraId="1E8BA3B5" w14:textId="77777777" w:rsidR="004541AA" w:rsidRPr="0014205E" w:rsidRDefault="004541AA" w:rsidP="00AF3975">
      <w:pPr>
        <w:pStyle w:val="ListParagraph"/>
        <w:numPr>
          <w:ilvl w:val="0"/>
          <w:numId w:val="12"/>
        </w:numPr>
        <w:spacing w:after="120"/>
        <w:rPr>
          <w:sz w:val="22"/>
          <w:szCs w:val="22"/>
        </w:rPr>
      </w:pPr>
      <w:r w:rsidRPr="0014205E">
        <w:rPr>
          <w:sz w:val="22"/>
          <w:szCs w:val="22"/>
        </w:rPr>
        <w:t xml:space="preserve">All areas of the laboratory must be kept clean and orderly. </w:t>
      </w:r>
    </w:p>
    <w:p w14:paraId="4A77250E" w14:textId="77777777" w:rsidR="004541AA" w:rsidRPr="0014205E" w:rsidRDefault="004541AA" w:rsidP="00AF3975">
      <w:pPr>
        <w:pStyle w:val="ListParagraph"/>
        <w:numPr>
          <w:ilvl w:val="0"/>
          <w:numId w:val="12"/>
        </w:numPr>
        <w:spacing w:after="120"/>
        <w:rPr>
          <w:sz w:val="22"/>
          <w:szCs w:val="22"/>
        </w:rPr>
      </w:pPr>
      <w:r w:rsidRPr="0014205E">
        <w:rPr>
          <w:sz w:val="22"/>
          <w:szCs w:val="22"/>
        </w:rPr>
        <w:t xml:space="preserve">Dirt, dust, and clutter are safety hazards and are not consistent with acceptable biological research. </w:t>
      </w:r>
    </w:p>
    <w:p w14:paraId="1541CBF4" w14:textId="77777777" w:rsidR="004541AA" w:rsidRPr="0014205E" w:rsidRDefault="004541AA" w:rsidP="00AF3975">
      <w:pPr>
        <w:pStyle w:val="ListParagraph"/>
        <w:numPr>
          <w:ilvl w:val="0"/>
          <w:numId w:val="12"/>
        </w:numPr>
        <w:spacing w:after="120"/>
        <w:rPr>
          <w:sz w:val="22"/>
          <w:szCs w:val="22"/>
        </w:rPr>
      </w:pPr>
      <w:r w:rsidRPr="0014205E">
        <w:rPr>
          <w:sz w:val="22"/>
          <w:szCs w:val="22"/>
        </w:rPr>
        <w:t xml:space="preserve">Vacuum lines should be protected by a liquid disinfectant trap. </w:t>
      </w:r>
    </w:p>
    <w:p w14:paraId="0FB322DC" w14:textId="7F17D784" w:rsidR="004541AA" w:rsidRPr="0014205E" w:rsidRDefault="004541AA" w:rsidP="00AF3975">
      <w:pPr>
        <w:pStyle w:val="ListParagraph"/>
        <w:numPr>
          <w:ilvl w:val="0"/>
          <w:numId w:val="12"/>
        </w:numPr>
        <w:spacing w:after="120"/>
        <w:rPr>
          <w:sz w:val="22"/>
          <w:szCs w:val="22"/>
        </w:rPr>
      </w:pPr>
      <w:r w:rsidRPr="0014205E">
        <w:rPr>
          <w:sz w:val="22"/>
          <w:szCs w:val="22"/>
        </w:rPr>
        <w:t xml:space="preserve">Contaminated materials to be reused must be chemically disinfected or placed, untreated, in </w:t>
      </w:r>
      <w:r w:rsidR="004E3F25" w:rsidRPr="0014205E">
        <w:rPr>
          <w:sz w:val="22"/>
          <w:szCs w:val="22"/>
        </w:rPr>
        <w:t>an autoclave</w:t>
      </w:r>
      <w:r w:rsidRPr="0014205E">
        <w:rPr>
          <w:sz w:val="22"/>
          <w:szCs w:val="22"/>
        </w:rPr>
        <w:t xml:space="preserve"> bin prior to autoclaving. </w:t>
      </w:r>
    </w:p>
    <w:p w14:paraId="5FD3D058" w14:textId="77777777" w:rsidR="004541AA" w:rsidRPr="0014205E" w:rsidRDefault="004541AA" w:rsidP="00AF3975">
      <w:pPr>
        <w:pStyle w:val="ListParagraph"/>
        <w:numPr>
          <w:ilvl w:val="0"/>
          <w:numId w:val="12"/>
        </w:numPr>
        <w:spacing w:after="120"/>
        <w:rPr>
          <w:sz w:val="22"/>
          <w:szCs w:val="22"/>
        </w:rPr>
      </w:pPr>
      <w:r w:rsidRPr="0014205E">
        <w:rPr>
          <w:sz w:val="22"/>
          <w:szCs w:val="22"/>
        </w:rPr>
        <w:t xml:space="preserve">Surfaces are to be decontaminated after each use. </w:t>
      </w:r>
    </w:p>
    <w:p w14:paraId="1EB00D8E" w14:textId="40451E63" w:rsidR="004541AA" w:rsidRPr="0014205E" w:rsidRDefault="004541AA" w:rsidP="00AF3975">
      <w:pPr>
        <w:pStyle w:val="ListParagraph"/>
        <w:numPr>
          <w:ilvl w:val="0"/>
          <w:numId w:val="12"/>
        </w:numPr>
        <w:spacing w:after="120"/>
        <w:rPr>
          <w:sz w:val="22"/>
          <w:szCs w:val="22"/>
        </w:rPr>
      </w:pPr>
      <w:r w:rsidRPr="0014205E">
        <w:rPr>
          <w:sz w:val="22"/>
          <w:szCs w:val="22"/>
        </w:rPr>
        <w:t xml:space="preserve">Appropriate disinfectants should be available </w:t>
      </w:r>
      <w:r w:rsidR="006A7D20" w:rsidRPr="0014205E">
        <w:rPr>
          <w:sz w:val="22"/>
          <w:szCs w:val="22"/>
        </w:rPr>
        <w:t>specifically</w:t>
      </w:r>
      <w:r w:rsidRPr="0014205E">
        <w:rPr>
          <w:sz w:val="22"/>
          <w:szCs w:val="22"/>
        </w:rPr>
        <w:t xml:space="preserve"> to the agents in use. Ensure appropriate contact time for the disinfectant and biohazardous materials, follow manufacturer’s recommendations. </w:t>
      </w:r>
    </w:p>
    <w:p w14:paraId="7E76C414" w14:textId="09E7DF4D" w:rsidR="004541AA" w:rsidRPr="0014205E" w:rsidRDefault="004541AA" w:rsidP="0014205E">
      <w:pPr>
        <w:spacing w:after="120"/>
        <w:rPr>
          <w:sz w:val="22"/>
          <w:szCs w:val="22"/>
        </w:rPr>
      </w:pPr>
      <w:r w:rsidRPr="0014205E">
        <w:rPr>
          <w:b/>
          <w:bCs/>
          <w:sz w:val="22"/>
          <w:szCs w:val="22"/>
        </w:rPr>
        <w:t>NOTE:</w:t>
      </w:r>
      <w:r w:rsidRPr="0014205E">
        <w:rPr>
          <w:sz w:val="22"/>
          <w:szCs w:val="22"/>
        </w:rPr>
        <w:t xml:space="preserve"> Recommended disinfectants include 10% </w:t>
      </w:r>
      <w:r w:rsidR="004E3F25" w:rsidRPr="0014205E">
        <w:rPr>
          <w:sz w:val="22"/>
          <w:szCs w:val="22"/>
        </w:rPr>
        <w:t>bleach,</w:t>
      </w:r>
      <w:r w:rsidRPr="0014205E">
        <w:rPr>
          <w:sz w:val="22"/>
          <w:szCs w:val="22"/>
        </w:rPr>
        <w:t xml:space="preserve"> 70% ethanol, Lysol, Virex, and quaternary ammonia compounds.</w:t>
      </w:r>
    </w:p>
    <w:p w14:paraId="5C58A566" w14:textId="6B2DA8F6" w:rsidR="006C37EA" w:rsidRPr="009321E2" w:rsidRDefault="006C37EA" w:rsidP="0014205E">
      <w:pPr>
        <w:spacing w:after="120"/>
        <w:rPr>
          <w:sz w:val="28"/>
          <w:szCs w:val="28"/>
        </w:rPr>
      </w:pPr>
      <w:bookmarkStart w:id="51" w:name="S9BiohazardousWaste"/>
      <w:r w:rsidRPr="009321E2">
        <w:rPr>
          <w:b/>
          <w:bCs/>
          <w:sz w:val="28"/>
          <w:szCs w:val="28"/>
        </w:rPr>
        <w:lastRenderedPageBreak/>
        <w:t xml:space="preserve">SECTION </w:t>
      </w:r>
      <w:r w:rsidR="00AF56B4">
        <w:rPr>
          <w:b/>
          <w:bCs/>
          <w:sz w:val="28"/>
          <w:szCs w:val="28"/>
        </w:rPr>
        <w:t>9</w:t>
      </w:r>
      <w:r w:rsidRPr="009321E2">
        <w:rPr>
          <w:b/>
          <w:bCs/>
          <w:sz w:val="28"/>
          <w:szCs w:val="28"/>
        </w:rPr>
        <w:t>: BIOHAZARDOUS WASTE</w:t>
      </w:r>
      <w:r w:rsidRPr="009321E2">
        <w:rPr>
          <w:sz w:val="28"/>
          <w:szCs w:val="28"/>
        </w:rPr>
        <w:t xml:space="preserve"> </w:t>
      </w:r>
    </w:p>
    <w:bookmarkEnd w:id="51"/>
    <w:p w14:paraId="59A07BE7" w14:textId="03713C83" w:rsidR="006C37EA" w:rsidRPr="0014205E" w:rsidRDefault="006C37EA" w:rsidP="0014205E">
      <w:pPr>
        <w:spacing w:after="120"/>
        <w:rPr>
          <w:sz w:val="22"/>
          <w:szCs w:val="22"/>
        </w:rPr>
      </w:pPr>
      <w:r w:rsidRPr="0014205E">
        <w:rPr>
          <w:sz w:val="22"/>
          <w:szCs w:val="22"/>
        </w:rPr>
        <w:t xml:space="preserve">In the laboratory, biological waste must be kept in a closed container unless </w:t>
      </w:r>
      <w:r w:rsidR="008C3607">
        <w:rPr>
          <w:sz w:val="22"/>
          <w:szCs w:val="22"/>
        </w:rPr>
        <w:t xml:space="preserve">user is </w:t>
      </w:r>
      <w:r w:rsidRPr="0014205E">
        <w:rPr>
          <w:sz w:val="22"/>
          <w:szCs w:val="22"/>
        </w:rPr>
        <w:t xml:space="preserve">actively adding to the waste. Prior to removing biological waste from the lab or collection by the Office of Safety, decontaminate external surfaces/containers by spraying or wiping with </w:t>
      </w:r>
      <w:r w:rsidR="008C3607">
        <w:rPr>
          <w:sz w:val="22"/>
          <w:szCs w:val="22"/>
        </w:rPr>
        <w:t xml:space="preserve">an </w:t>
      </w:r>
      <w:r w:rsidRPr="0014205E">
        <w:rPr>
          <w:sz w:val="22"/>
          <w:szCs w:val="22"/>
        </w:rPr>
        <w:t>appropriate disinfectant and transport in a closed secondary container. Biological waste should be routinely removed from the lab to collection areas (if available in your building</w:t>
      </w:r>
      <w:r w:rsidR="006A7D20">
        <w:rPr>
          <w:sz w:val="22"/>
          <w:szCs w:val="22"/>
        </w:rPr>
        <w:t>) or disposed of appropriately.</w:t>
      </w:r>
      <w:r w:rsidRPr="0014205E">
        <w:rPr>
          <w:sz w:val="22"/>
          <w:szCs w:val="22"/>
        </w:rPr>
        <w:t xml:space="preserve"> Biohazardous waste is divided into the following categories:</w:t>
      </w:r>
    </w:p>
    <w:tbl>
      <w:tblPr>
        <w:tblStyle w:val="TableGrid"/>
        <w:tblW w:w="0" w:type="auto"/>
        <w:tblLook w:val="04A0" w:firstRow="1" w:lastRow="0" w:firstColumn="1" w:lastColumn="0" w:noHBand="0" w:noVBand="1"/>
      </w:tblPr>
      <w:tblGrid>
        <w:gridCol w:w="3145"/>
        <w:gridCol w:w="6205"/>
      </w:tblGrid>
      <w:tr w:rsidR="006C37EA" w:rsidRPr="0014205E" w14:paraId="66AB56F1" w14:textId="77777777" w:rsidTr="006F6990">
        <w:tc>
          <w:tcPr>
            <w:tcW w:w="3145" w:type="dxa"/>
            <w:shd w:val="clear" w:color="auto" w:fill="59A56D"/>
          </w:tcPr>
          <w:p w14:paraId="74957DF0" w14:textId="12AA8470" w:rsidR="006C37EA" w:rsidRPr="006F6990" w:rsidRDefault="006C37EA" w:rsidP="0014205E">
            <w:pPr>
              <w:spacing w:after="120"/>
              <w:rPr>
                <w:b/>
                <w:bCs/>
                <w:color w:val="FFFFFF" w:themeColor="background1"/>
                <w:sz w:val="22"/>
                <w:szCs w:val="22"/>
              </w:rPr>
            </w:pPr>
            <w:r w:rsidRPr="006F6990">
              <w:rPr>
                <w:b/>
                <w:bCs/>
                <w:color w:val="FFFFFF" w:themeColor="background1"/>
                <w:sz w:val="22"/>
                <w:szCs w:val="22"/>
              </w:rPr>
              <w:t>CATEGORY OF WASTE</w:t>
            </w:r>
          </w:p>
        </w:tc>
        <w:tc>
          <w:tcPr>
            <w:tcW w:w="6205" w:type="dxa"/>
            <w:shd w:val="clear" w:color="auto" w:fill="59A56D"/>
          </w:tcPr>
          <w:p w14:paraId="260D48B7" w14:textId="219DDBB9" w:rsidR="006C37EA" w:rsidRPr="006F6990" w:rsidRDefault="006C37EA" w:rsidP="0014205E">
            <w:pPr>
              <w:spacing w:after="120"/>
              <w:rPr>
                <w:b/>
                <w:bCs/>
                <w:color w:val="FFFFFF" w:themeColor="background1"/>
                <w:sz w:val="22"/>
                <w:szCs w:val="22"/>
              </w:rPr>
            </w:pPr>
            <w:r w:rsidRPr="006F6990">
              <w:rPr>
                <w:b/>
                <w:bCs/>
                <w:color w:val="FFFFFF" w:themeColor="background1"/>
                <w:sz w:val="22"/>
                <w:szCs w:val="22"/>
              </w:rPr>
              <w:t>INCLUDES…..</w:t>
            </w:r>
          </w:p>
        </w:tc>
      </w:tr>
      <w:tr w:rsidR="006C37EA" w:rsidRPr="0014205E" w14:paraId="064AB3F1" w14:textId="77777777" w:rsidTr="006C37EA">
        <w:tc>
          <w:tcPr>
            <w:tcW w:w="3145" w:type="dxa"/>
          </w:tcPr>
          <w:p w14:paraId="563339CF" w14:textId="221D0AE4" w:rsidR="006C37EA" w:rsidRPr="0014205E" w:rsidRDefault="006C37EA" w:rsidP="0014205E">
            <w:pPr>
              <w:spacing w:after="120"/>
              <w:rPr>
                <w:sz w:val="22"/>
                <w:szCs w:val="22"/>
              </w:rPr>
            </w:pPr>
            <w:r w:rsidRPr="0014205E">
              <w:rPr>
                <w:sz w:val="22"/>
                <w:szCs w:val="22"/>
              </w:rPr>
              <w:t>Solid Biohazardous Waste</w:t>
            </w:r>
          </w:p>
        </w:tc>
        <w:tc>
          <w:tcPr>
            <w:tcW w:w="6205" w:type="dxa"/>
          </w:tcPr>
          <w:p w14:paraId="063DA760" w14:textId="37967744" w:rsidR="006C37EA" w:rsidRPr="0014205E" w:rsidRDefault="006C37EA" w:rsidP="0014205E">
            <w:pPr>
              <w:spacing w:after="120"/>
              <w:rPr>
                <w:sz w:val="22"/>
                <w:szCs w:val="22"/>
              </w:rPr>
            </w:pPr>
            <w:r w:rsidRPr="0014205E">
              <w:rPr>
                <w:sz w:val="22"/>
                <w:szCs w:val="22"/>
              </w:rPr>
              <w:t>Plastic plates, petri dishes, paper towels, gloves, pipette tips, plastic serological pipettes, etc. that have been used with or come in contact with biological material.</w:t>
            </w:r>
          </w:p>
        </w:tc>
      </w:tr>
      <w:tr w:rsidR="006C37EA" w:rsidRPr="0014205E" w14:paraId="23833E37" w14:textId="77777777" w:rsidTr="006C37EA">
        <w:tc>
          <w:tcPr>
            <w:tcW w:w="3145" w:type="dxa"/>
          </w:tcPr>
          <w:p w14:paraId="7AE5E283" w14:textId="28524C3F" w:rsidR="006C37EA" w:rsidRPr="0014205E" w:rsidRDefault="006C37EA" w:rsidP="0014205E">
            <w:pPr>
              <w:spacing w:after="120"/>
              <w:rPr>
                <w:sz w:val="22"/>
                <w:szCs w:val="22"/>
              </w:rPr>
            </w:pPr>
            <w:r w:rsidRPr="0014205E">
              <w:rPr>
                <w:sz w:val="22"/>
                <w:szCs w:val="22"/>
              </w:rPr>
              <w:t>Liquid Biohazardous Waste</w:t>
            </w:r>
          </w:p>
        </w:tc>
        <w:tc>
          <w:tcPr>
            <w:tcW w:w="6205" w:type="dxa"/>
          </w:tcPr>
          <w:p w14:paraId="602FC41C" w14:textId="5487E137" w:rsidR="006C37EA" w:rsidRPr="0014205E" w:rsidRDefault="006C37EA" w:rsidP="006A7D20">
            <w:pPr>
              <w:spacing w:after="120"/>
              <w:rPr>
                <w:sz w:val="22"/>
                <w:szCs w:val="22"/>
              </w:rPr>
            </w:pPr>
            <w:r w:rsidRPr="0014205E">
              <w:rPr>
                <w:sz w:val="22"/>
                <w:szCs w:val="22"/>
              </w:rPr>
              <w:t>Culture broths, media, stock cultures, centrifuge supernatants, blood, and solutions containing recombinant and synthetic nucleic acid molecules or any liquids that contain or have come in</w:t>
            </w:r>
            <w:r w:rsidR="006A7D20">
              <w:rPr>
                <w:sz w:val="22"/>
                <w:szCs w:val="22"/>
              </w:rPr>
              <w:t xml:space="preserve"> </w:t>
            </w:r>
            <w:r w:rsidRPr="0014205E">
              <w:rPr>
                <w:sz w:val="22"/>
                <w:szCs w:val="22"/>
              </w:rPr>
              <w:t>contact with viable biological material.</w:t>
            </w:r>
          </w:p>
        </w:tc>
      </w:tr>
      <w:tr w:rsidR="006C37EA" w:rsidRPr="0014205E" w14:paraId="29114EDE" w14:textId="77777777" w:rsidTr="006C37EA">
        <w:tc>
          <w:tcPr>
            <w:tcW w:w="3145" w:type="dxa"/>
          </w:tcPr>
          <w:p w14:paraId="7CF687DD" w14:textId="7E9EA271" w:rsidR="006C37EA" w:rsidRPr="0014205E" w:rsidRDefault="006C37EA" w:rsidP="0014205E">
            <w:pPr>
              <w:spacing w:after="120"/>
              <w:rPr>
                <w:sz w:val="22"/>
                <w:szCs w:val="22"/>
              </w:rPr>
            </w:pPr>
            <w:r w:rsidRPr="0014205E">
              <w:rPr>
                <w:sz w:val="22"/>
                <w:szCs w:val="22"/>
              </w:rPr>
              <w:t>Sharps Waste</w:t>
            </w:r>
          </w:p>
        </w:tc>
        <w:tc>
          <w:tcPr>
            <w:tcW w:w="6205" w:type="dxa"/>
          </w:tcPr>
          <w:p w14:paraId="18C718DB" w14:textId="73EA74CA" w:rsidR="006C37EA" w:rsidRPr="0014205E" w:rsidRDefault="006C37EA" w:rsidP="0014205E">
            <w:pPr>
              <w:spacing w:after="120"/>
              <w:rPr>
                <w:sz w:val="22"/>
                <w:szCs w:val="22"/>
              </w:rPr>
            </w:pPr>
            <w:r w:rsidRPr="0014205E">
              <w:rPr>
                <w:sz w:val="22"/>
                <w:szCs w:val="22"/>
              </w:rPr>
              <w:t>Needles with or without attached syringes, razor blades, glass slides, glass vials, and anything that can puncture the skin that has been used with or come into contact with biological material.</w:t>
            </w:r>
          </w:p>
        </w:tc>
      </w:tr>
      <w:tr w:rsidR="00EC4E2A" w:rsidRPr="0014205E" w14:paraId="79D740FA" w14:textId="77777777" w:rsidTr="006C37EA">
        <w:tc>
          <w:tcPr>
            <w:tcW w:w="3145" w:type="dxa"/>
          </w:tcPr>
          <w:p w14:paraId="56FFE371" w14:textId="3A3DB658" w:rsidR="00EC4E2A" w:rsidRPr="0014205E" w:rsidRDefault="00EC4E2A" w:rsidP="0014205E">
            <w:pPr>
              <w:spacing w:after="120"/>
              <w:rPr>
                <w:sz w:val="22"/>
                <w:szCs w:val="22"/>
              </w:rPr>
            </w:pPr>
            <w:r w:rsidRPr="0014205E">
              <w:rPr>
                <w:sz w:val="22"/>
                <w:szCs w:val="22"/>
              </w:rPr>
              <w:t>Pathological Waste</w:t>
            </w:r>
          </w:p>
        </w:tc>
        <w:tc>
          <w:tcPr>
            <w:tcW w:w="6205" w:type="dxa"/>
          </w:tcPr>
          <w:p w14:paraId="31C55193" w14:textId="21B112EC" w:rsidR="00EC4E2A" w:rsidRPr="0014205E" w:rsidRDefault="00EC4E2A" w:rsidP="0014205E">
            <w:pPr>
              <w:spacing w:after="120"/>
              <w:rPr>
                <w:sz w:val="22"/>
                <w:szCs w:val="22"/>
              </w:rPr>
            </w:pPr>
            <w:r w:rsidRPr="0014205E">
              <w:rPr>
                <w:sz w:val="22"/>
                <w:szCs w:val="22"/>
              </w:rPr>
              <w:t>Recognizable human derived tissues, organs, and body parts, as well as vertebrate animal-derived tissues, organs, and body parts used in research.</w:t>
            </w:r>
          </w:p>
        </w:tc>
      </w:tr>
    </w:tbl>
    <w:p w14:paraId="597C2116" w14:textId="77777777" w:rsidR="006C37EA" w:rsidRPr="0014205E" w:rsidRDefault="006C37EA" w:rsidP="0014205E">
      <w:pPr>
        <w:spacing w:after="120"/>
        <w:rPr>
          <w:sz w:val="22"/>
          <w:szCs w:val="22"/>
        </w:rPr>
      </w:pPr>
    </w:p>
    <w:p w14:paraId="57886FB0" w14:textId="2C4E2102" w:rsidR="00125CAD" w:rsidRPr="0014205E" w:rsidRDefault="006C37EA" w:rsidP="0014205E">
      <w:pPr>
        <w:spacing w:after="120"/>
        <w:rPr>
          <w:sz w:val="22"/>
          <w:szCs w:val="22"/>
        </w:rPr>
      </w:pPr>
      <w:r w:rsidRPr="0014205E">
        <w:rPr>
          <w:sz w:val="22"/>
          <w:szCs w:val="22"/>
        </w:rPr>
        <w:t>U</w:t>
      </w:r>
      <w:r w:rsidR="00125CAD" w:rsidRPr="0014205E">
        <w:rPr>
          <w:sz w:val="22"/>
          <w:szCs w:val="22"/>
        </w:rPr>
        <w:t>ND</w:t>
      </w:r>
      <w:r w:rsidRPr="0014205E">
        <w:rPr>
          <w:sz w:val="22"/>
          <w:szCs w:val="22"/>
        </w:rPr>
        <w:t xml:space="preserve"> </w:t>
      </w:r>
      <w:r w:rsidR="00125CAD" w:rsidRPr="0014205E">
        <w:rPr>
          <w:sz w:val="22"/>
          <w:szCs w:val="22"/>
        </w:rPr>
        <w:t>Office of Safety</w:t>
      </w:r>
      <w:r w:rsidRPr="0014205E">
        <w:rPr>
          <w:sz w:val="22"/>
          <w:szCs w:val="22"/>
        </w:rPr>
        <w:t xml:space="preserve"> or an approved vendor collects and processes the biological waste generated at U</w:t>
      </w:r>
      <w:r w:rsidR="00125CAD" w:rsidRPr="0014205E">
        <w:rPr>
          <w:sz w:val="22"/>
          <w:szCs w:val="22"/>
        </w:rPr>
        <w:t>ND</w:t>
      </w:r>
      <w:r w:rsidRPr="0014205E">
        <w:rPr>
          <w:sz w:val="22"/>
          <w:szCs w:val="22"/>
        </w:rPr>
        <w:t xml:space="preserve">. Lab directors (faculty/lab managers/supervisors) must follow the </w:t>
      </w:r>
      <w:r w:rsidR="00125CAD" w:rsidRPr="0014205E">
        <w:rPr>
          <w:sz w:val="22"/>
          <w:szCs w:val="22"/>
        </w:rPr>
        <w:t>Office of Safety</w:t>
      </w:r>
      <w:r w:rsidRPr="0014205E">
        <w:rPr>
          <w:sz w:val="22"/>
          <w:szCs w:val="22"/>
        </w:rPr>
        <w:t xml:space="preserve"> protocols for proper disposal of biological waste to ensure regulatory compliance, maintain a safe </w:t>
      </w:r>
      <w:r w:rsidR="00125CAD" w:rsidRPr="0014205E">
        <w:rPr>
          <w:sz w:val="22"/>
          <w:szCs w:val="22"/>
        </w:rPr>
        <w:t>workplace</w:t>
      </w:r>
      <w:r w:rsidRPr="0014205E">
        <w:rPr>
          <w:sz w:val="22"/>
          <w:szCs w:val="22"/>
        </w:rPr>
        <w:t xml:space="preserve">, and protect the environment. </w:t>
      </w:r>
    </w:p>
    <w:p w14:paraId="3FA5F834" w14:textId="2F186FDE" w:rsidR="00125CAD" w:rsidRPr="0014205E" w:rsidRDefault="00125CAD" w:rsidP="00AF3975">
      <w:pPr>
        <w:pStyle w:val="ListParagraph"/>
        <w:numPr>
          <w:ilvl w:val="0"/>
          <w:numId w:val="17"/>
        </w:numPr>
        <w:spacing w:after="120"/>
        <w:rPr>
          <w:sz w:val="22"/>
          <w:szCs w:val="22"/>
        </w:rPr>
      </w:pPr>
      <w:r w:rsidRPr="0014205E">
        <w:rPr>
          <w:sz w:val="22"/>
          <w:szCs w:val="22"/>
        </w:rPr>
        <w:t>Waste Stream Poster</w:t>
      </w:r>
    </w:p>
    <w:p w14:paraId="12659809" w14:textId="77777777" w:rsidR="00AF56B4" w:rsidRPr="005A0FED" w:rsidRDefault="00AF56B4" w:rsidP="0014205E">
      <w:pPr>
        <w:spacing w:after="120"/>
        <w:rPr>
          <w:b/>
          <w:bCs/>
          <w:sz w:val="22"/>
          <w:szCs w:val="22"/>
          <w:u w:val="single"/>
        </w:rPr>
      </w:pPr>
    </w:p>
    <w:p w14:paraId="27D3019A" w14:textId="51B7C74C" w:rsidR="00125CAD" w:rsidRPr="009321E2" w:rsidRDefault="006C37EA" w:rsidP="0014205E">
      <w:pPr>
        <w:spacing w:after="120"/>
      </w:pPr>
      <w:r w:rsidRPr="009321E2">
        <w:rPr>
          <w:b/>
          <w:bCs/>
          <w:u w:val="single"/>
        </w:rPr>
        <w:t>Autoclave</w:t>
      </w:r>
      <w:r w:rsidRPr="009321E2">
        <w:t xml:space="preserve"> </w:t>
      </w:r>
    </w:p>
    <w:p w14:paraId="285D6FE9" w14:textId="0BC64B41" w:rsidR="00125CAD" w:rsidRPr="0014205E" w:rsidRDefault="00125CAD" w:rsidP="0014205E">
      <w:pPr>
        <w:spacing w:after="120"/>
        <w:rPr>
          <w:i/>
          <w:iCs/>
          <w:sz w:val="22"/>
          <w:szCs w:val="22"/>
        </w:rPr>
      </w:pPr>
      <w:r w:rsidRPr="0014205E">
        <w:rPr>
          <w:sz w:val="22"/>
          <w:szCs w:val="22"/>
        </w:rPr>
        <w:t xml:space="preserve">Due to the highly hazardous nature of the research being conducted, some Principal Investigators may opt to autoclave the biohazardous waste prior to placing it in the collection area for pick up by the Office of Safety – </w:t>
      </w:r>
      <w:r w:rsidRPr="0014205E">
        <w:rPr>
          <w:i/>
          <w:iCs/>
          <w:sz w:val="22"/>
          <w:szCs w:val="22"/>
        </w:rPr>
        <w:t xml:space="preserve">this waste should </w:t>
      </w:r>
      <w:r w:rsidRPr="0014205E">
        <w:rPr>
          <w:b/>
          <w:bCs/>
          <w:i/>
          <w:iCs/>
          <w:sz w:val="22"/>
          <w:szCs w:val="22"/>
        </w:rPr>
        <w:t>not</w:t>
      </w:r>
      <w:r w:rsidRPr="0014205E">
        <w:rPr>
          <w:i/>
          <w:iCs/>
          <w:sz w:val="22"/>
          <w:szCs w:val="22"/>
        </w:rPr>
        <w:t xml:space="preserve"> be placed in municipal waste after autoclaving.</w:t>
      </w:r>
    </w:p>
    <w:p w14:paraId="6BE600AB" w14:textId="049A1142" w:rsidR="008E0B7F" w:rsidRPr="0014205E" w:rsidRDefault="006C37EA" w:rsidP="00AF3975">
      <w:pPr>
        <w:pStyle w:val="ListParagraph"/>
        <w:numPr>
          <w:ilvl w:val="0"/>
          <w:numId w:val="17"/>
        </w:numPr>
        <w:spacing w:after="120"/>
        <w:rPr>
          <w:sz w:val="22"/>
          <w:szCs w:val="22"/>
        </w:rPr>
      </w:pPr>
      <w:r w:rsidRPr="0014205E">
        <w:rPr>
          <w:sz w:val="22"/>
          <w:szCs w:val="22"/>
        </w:rPr>
        <w:t>Steam Sterilization is defined as 121</w:t>
      </w:r>
      <w:r w:rsidR="00EF3FC5">
        <w:rPr>
          <w:sz w:val="22"/>
          <w:szCs w:val="22"/>
        </w:rPr>
        <w:t xml:space="preserve"> degrees </w:t>
      </w:r>
      <w:r w:rsidRPr="0014205E">
        <w:rPr>
          <w:sz w:val="22"/>
          <w:szCs w:val="22"/>
        </w:rPr>
        <w:t xml:space="preserve">C for at least 15 minutes peak temperature. The standard autoclave “cycle” is at least 45 minutes. </w:t>
      </w:r>
    </w:p>
    <w:p w14:paraId="733AAC53" w14:textId="77777777" w:rsidR="008E0B7F" w:rsidRPr="0014205E" w:rsidRDefault="006C37EA" w:rsidP="00AF3975">
      <w:pPr>
        <w:pStyle w:val="ListParagraph"/>
        <w:numPr>
          <w:ilvl w:val="0"/>
          <w:numId w:val="17"/>
        </w:numPr>
        <w:spacing w:after="120"/>
        <w:rPr>
          <w:sz w:val="22"/>
          <w:szCs w:val="22"/>
        </w:rPr>
      </w:pPr>
      <w:r w:rsidRPr="0014205E">
        <w:rPr>
          <w:sz w:val="22"/>
          <w:szCs w:val="22"/>
        </w:rPr>
        <w:t xml:space="preserve">Personnel operating autoclave(s) must be properly trained in its use. This training is provided by an experienced lab personnel or autoclave vendor. </w:t>
      </w:r>
    </w:p>
    <w:p w14:paraId="37EDDABB" w14:textId="4A084A6F" w:rsidR="008E0B7F" w:rsidRPr="0014205E" w:rsidRDefault="006C37EA" w:rsidP="00AF3975">
      <w:pPr>
        <w:pStyle w:val="ListParagraph"/>
        <w:numPr>
          <w:ilvl w:val="0"/>
          <w:numId w:val="17"/>
        </w:numPr>
        <w:spacing w:after="120"/>
        <w:rPr>
          <w:sz w:val="22"/>
          <w:szCs w:val="22"/>
        </w:rPr>
      </w:pPr>
      <w:r w:rsidRPr="0014205E">
        <w:rPr>
          <w:sz w:val="22"/>
          <w:szCs w:val="22"/>
        </w:rPr>
        <w:t xml:space="preserve">Autoclave Safety Training is required and </w:t>
      </w:r>
      <w:r w:rsidR="008C3607" w:rsidRPr="0014205E">
        <w:rPr>
          <w:sz w:val="22"/>
          <w:szCs w:val="22"/>
        </w:rPr>
        <w:t>is available</w:t>
      </w:r>
      <w:r w:rsidRPr="0014205E">
        <w:rPr>
          <w:sz w:val="22"/>
          <w:szCs w:val="22"/>
        </w:rPr>
        <w:t xml:space="preserve"> through </w:t>
      </w:r>
      <w:r w:rsidR="008E0B7F" w:rsidRPr="0014205E">
        <w:rPr>
          <w:sz w:val="22"/>
          <w:szCs w:val="22"/>
        </w:rPr>
        <w:t>Vector</w:t>
      </w:r>
      <w:r w:rsidR="005A0FED">
        <w:rPr>
          <w:sz w:val="22"/>
          <w:szCs w:val="22"/>
        </w:rPr>
        <w:t xml:space="preserve"> </w:t>
      </w:r>
      <w:r w:rsidR="008E0B7F" w:rsidRPr="0014205E">
        <w:rPr>
          <w:sz w:val="22"/>
          <w:szCs w:val="22"/>
        </w:rPr>
        <w:t>Solutions</w:t>
      </w:r>
      <w:r w:rsidRPr="0014205E">
        <w:rPr>
          <w:sz w:val="22"/>
          <w:szCs w:val="22"/>
        </w:rPr>
        <w:t>.</w:t>
      </w:r>
    </w:p>
    <w:p w14:paraId="6C1E4138" w14:textId="77777777" w:rsidR="008E0B7F" w:rsidRPr="0014205E" w:rsidRDefault="006C37EA" w:rsidP="00AF3975">
      <w:pPr>
        <w:pStyle w:val="ListParagraph"/>
        <w:numPr>
          <w:ilvl w:val="0"/>
          <w:numId w:val="17"/>
        </w:numPr>
        <w:spacing w:after="120"/>
        <w:rPr>
          <w:sz w:val="22"/>
          <w:szCs w:val="22"/>
        </w:rPr>
      </w:pPr>
      <w:r w:rsidRPr="0014205E">
        <w:rPr>
          <w:sz w:val="22"/>
          <w:szCs w:val="22"/>
        </w:rPr>
        <w:lastRenderedPageBreak/>
        <w:t xml:space="preserve">Biohazardous materials must not be placed in autoclaves overnight in anticipation of autoclaving the next day. </w:t>
      </w:r>
    </w:p>
    <w:p w14:paraId="2E2A57C5" w14:textId="4D2163D8" w:rsidR="008E0B7F" w:rsidRPr="0014205E" w:rsidRDefault="006C37EA" w:rsidP="00AF3975">
      <w:pPr>
        <w:pStyle w:val="ListParagraph"/>
        <w:numPr>
          <w:ilvl w:val="0"/>
          <w:numId w:val="17"/>
        </w:numPr>
        <w:spacing w:after="120"/>
        <w:rPr>
          <w:sz w:val="22"/>
          <w:szCs w:val="22"/>
        </w:rPr>
      </w:pPr>
      <w:r w:rsidRPr="0014205E">
        <w:rPr>
          <w:sz w:val="22"/>
          <w:szCs w:val="22"/>
        </w:rPr>
        <w:t xml:space="preserve">Wrap packages to allow for steam penetration; aluminum foil may not allow steam </w:t>
      </w:r>
      <w:r w:rsidR="00EE735D" w:rsidRPr="0014205E">
        <w:rPr>
          <w:sz w:val="22"/>
          <w:szCs w:val="22"/>
        </w:rPr>
        <w:t>penetration and</w:t>
      </w:r>
      <w:r w:rsidRPr="0014205E">
        <w:rPr>
          <w:sz w:val="22"/>
          <w:szCs w:val="22"/>
        </w:rPr>
        <w:t xml:space="preserve"> is not recommended for wrapping. </w:t>
      </w:r>
    </w:p>
    <w:p w14:paraId="37DB620C" w14:textId="77777777" w:rsidR="008E0B7F" w:rsidRPr="0014205E" w:rsidRDefault="006C37EA" w:rsidP="00AF3975">
      <w:pPr>
        <w:pStyle w:val="ListParagraph"/>
        <w:numPr>
          <w:ilvl w:val="0"/>
          <w:numId w:val="17"/>
        </w:numPr>
        <w:spacing w:after="120"/>
        <w:rPr>
          <w:sz w:val="22"/>
          <w:szCs w:val="22"/>
        </w:rPr>
      </w:pPr>
      <w:r w:rsidRPr="0014205E">
        <w:rPr>
          <w:sz w:val="22"/>
          <w:szCs w:val="22"/>
        </w:rPr>
        <w:t xml:space="preserve">Do not overload the chamber. </w:t>
      </w:r>
    </w:p>
    <w:p w14:paraId="6315DE4A" w14:textId="77777777" w:rsidR="008E0B7F" w:rsidRPr="0014205E" w:rsidRDefault="006C37EA" w:rsidP="00AF3975">
      <w:pPr>
        <w:pStyle w:val="ListParagraph"/>
        <w:numPr>
          <w:ilvl w:val="0"/>
          <w:numId w:val="17"/>
        </w:numPr>
        <w:spacing w:after="120"/>
        <w:rPr>
          <w:sz w:val="22"/>
          <w:szCs w:val="22"/>
        </w:rPr>
      </w:pPr>
      <w:r w:rsidRPr="0014205E">
        <w:rPr>
          <w:sz w:val="22"/>
          <w:szCs w:val="22"/>
        </w:rPr>
        <w:t xml:space="preserve">Avoid over packing of autoclave bags. </w:t>
      </w:r>
    </w:p>
    <w:p w14:paraId="68D9E10C" w14:textId="77777777" w:rsidR="008E0B7F" w:rsidRPr="0014205E" w:rsidRDefault="006C37EA" w:rsidP="00AF3975">
      <w:pPr>
        <w:pStyle w:val="ListParagraph"/>
        <w:numPr>
          <w:ilvl w:val="0"/>
          <w:numId w:val="17"/>
        </w:numPr>
        <w:spacing w:after="120"/>
        <w:rPr>
          <w:sz w:val="22"/>
          <w:szCs w:val="22"/>
        </w:rPr>
      </w:pPr>
      <w:r w:rsidRPr="0014205E">
        <w:rPr>
          <w:sz w:val="22"/>
          <w:szCs w:val="22"/>
        </w:rPr>
        <w:t xml:space="preserve">Do not seal bags or close bottles and other containers tightly. </w:t>
      </w:r>
    </w:p>
    <w:p w14:paraId="0EA742D3" w14:textId="77777777" w:rsidR="008E0B7F" w:rsidRPr="0014205E" w:rsidRDefault="006C37EA" w:rsidP="00AF3975">
      <w:pPr>
        <w:pStyle w:val="ListParagraph"/>
        <w:numPr>
          <w:ilvl w:val="0"/>
          <w:numId w:val="17"/>
        </w:numPr>
        <w:spacing w:after="120"/>
        <w:rPr>
          <w:sz w:val="22"/>
          <w:szCs w:val="22"/>
        </w:rPr>
      </w:pPr>
      <w:r w:rsidRPr="0014205E">
        <w:rPr>
          <w:sz w:val="22"/>
          <w:szCs w:val="22"/>
        </w:rPr>
        <w:t xml:space="preserve">Do not stack containers. </w:t>
      </w:r>
    </w:p>
    <w:p w14:paraId="09D2B428" w14:textId="77777777" w:rsidR="008E0B7F" w:rsidRPr="0014205E" w:rsidRDefault="006C37EA" w:rsidP="00AF3975">
      <w:pPr>
        <w:pStyle w:val="ListParagraph"/>
        <w:numPr>
          <w:ilvl w:val="0"/>
          <w:numId w:val="17"/>
        </w:numPr>
        <w:spacing w:after="120"/>
        <w:rPr>
          <w:sz w:val="22"/>
          <w:szCs w:val="22"/>
        </w:rPr>
      </w:pPr>
      <w:r w:rsidRPr="0014205E">
        <w:rPr>
          <w:sz w:val="22"/>
          <w:szCs w:val="22"/>
        </w:rPr>
        <w:t xml:space="preserve">Always place autoclave bags/containers in a secondary container when autoclaving. </w:t>
      </w:r>
    </w:p>
    <w:p w14:paraId="495A939B" w14:textId="77777777" w:rsidR="008E0B7F" w:rsidRPr="0014205E" w:rsidRDefault="006C37EA" w:rsidP="00AF3975">
      <w:pPr>
        <w:pStyle w:val="ListParagraph"/>
        <w:numPr>
          <w:ilvl w:val="0"/>
          <w:numId w:val="17"/>
        </w:numPr>
        <w:spacing w:after="120"/>
        <w:rPr>
          <w:sz w:val="22"/>
          <w:szCs w:val="22"/>
        </w:rPr>
      </w:pPr>
      <w:r w:rsidRPr="0014205E">
        <w:rPr>
          <w:sz w:val="22"/>
          <w:szCs w:val="22"/>
        </w:rPr>
        <w:t xml:space="preserve">Label waste by writing lab name and date on autoclave tape. </w:t>
      </w:r>
    </w:p>
    <w:p w14:paraId="69AB8421" w14:textId="61FD42A0" w:rsidR="006C37EA" w:rsidRDefault="006C37EA" w:rsidP="006A7D20">
      <w:pPr>
        <w:spacing w:after="120"/>
        <w:ind w:left="360"/>
        <w:rPr>
          <w:sz w:val="22"/>
          <w:szCs w:val="22"/>
        </w:rPr>
      </w:pPr>
      <w:r w:rsidRPr="0014205E">
        <w:rPr>
          <w:sz w:val="22"/>
          <w:szCs w:val="22"/>
        </w:rPr>
        <w:t>The changes that are seen on autoclave indicator tapes following an autoclave cycle do not guarantee that the contents of containers are sterile: they indicate only that the tape on the outside of the packages has been exposed to a certain amount of heat or steam. Proper autoclave performance is essential for sterilization. The time required for effective sterilization depends on the size of the load, volumes of liquid and density of materials to be autoclaved. Assessing autoclave performance regularly</w:t>
      </w:r>
      <w:r w:rsidR="00125CAD" w:rsidRPr="0014205E">
        <w:rPr>
          <w:sz w:val="22"/>
          <w:szCs w:val="22"/>
        </w:rPr>
        <w:t xml:space="preserve"> (at least once per month) is critical</w:t>
      </w:r>
      <w:r w:rsidR="008E0B7F" w:rsidRPr="0014205E">
        <w:rPr>
          <w:sz w:val="22"/>
          <w:szCs w:val="22"/>
        </w:rPr>
        <w:t>. The</w:t>
      </w:r>
      <w:r w:rsidR="00125CAD" w:rsidRPr="0014205E">
        <w:rPr>
          <w:sz w:val="22"/>
          <w:szCs w:val="22"/>
        </w:rPr>
        <w:t xml:space="preserve"> use of a heat-resistant biological indicator (BI) such as Bacillus stearothermophilus, should be used to ensure that the cycle in use really achieves sterilization conditions. </w:t>
      </w:r>
    </w:p>
    <w:p w14:paraId="6D1CC731" w14:textId="25AC1201" w:rsidR="006A7D20" w:rsidRPr="006A7D20" w:rsidRDefault="006A7D20" w:rsidP="006A7D20">
      <w:pPr>
        <w:spacing w:after="120"/>
        <w:ind w:left="360"/>
        <w:rPr>
          <w:sz w:val="22"/>
          <w:szCs w:val="22"/>
        </w:rPr>
      </w:pPr>
      <w:r>
        <w:rPr>
          <w:sz w:val="22"/>
          <w:szCs w:val="22"/>
        </w:rPr>
        <w:t xml:space="preserve">If an autoclave cycle fails, for whatever reason, immediately notify the </w:t>
      </w:r>
      <w:r w:rsidR="006B7B86">
        <w:rPr>
          <w:sz w:val="22"/>
          <w:szCs w:val="22"/>
        </w:rPr>
        <w:t xml:space="preserve">Lab Supervisor and the Office of Safety. Prevent further use of the autoclave until the Office of Safety can verify the cause of the failure and the impact of the potential exposure. </w:t>
      </w:r>
    </w:p>
    <w:p w14:paraId="18E58335" w14:textId="77777777" w:rsidR="008E0B7F" w:rsidRPr="0014205E" w:rsidRDefault="008E0B7F" w:rsidP="0014205E">
      <w:pPr>
        <w:spacing w:after="120"/>
        <w:rPr>
          <w:sz w:val="22"/>
          <w:szCs w:val="22"/>
          <w:highlight w:val="yellow"/>
        </w:rPr>
      </w:pPr>
    </w:p>
    <w:p w14:paraId="39D01803" w14:textId="77777777" w:rsidR="00AF56B4" w:rsidRDefault="00AF56B4">
      <w:pPr>
        <w:rPr>
          <w:b/>
          <w:bCs/>
          <w:sz w:val="28"/>
          <w:szCs w:val="28"/>
        </w:rPr>
      </w:pPr>
      <w:r>
        <w:rPr>
          <w:b/>
          <w:bCs/>
          <w:sz w:val="28"/>
          <w:szCs w:val="28"/>
        </w:rPr>
        <w:br w:type="page"/>
      </w:r>
    </w:p>
    <w:p w14:paraId="3FBF851D" w14:textId="71ADF655" w:rsidR="008E0B7F" w:rsidRPr="009321E2" w:rsidRDefault="008E0B7F" w:rsidP="0014205E">
      <w:pPr>
        <w:spacing w:after="120"/>
        <w:rPr>
          <w:sz w:val="28"/>
          <w:szCs w:val="28"/>
        </w:rPr>
      </w:pPr>
      <w:bookmarkStart w:id="52" w:name="S10ResearchAnimals"/>
      <w:r w:rsidRPr="009321E2">
        <w:rPr>
          <w:b/>
          <w:bCs/>
          <w:sz w:val="28"/>
          <w:szCs w:val="28"/>
        </w:rPr>
        <w:lastRenderedPageBreak/>
        <w:t xml:space="preserve">SECTION </w:t>
      </w:r>
      <w:r w:rsidR="00AF56B4">
        <w:rPr>
          <w:b/>
          <w:bCs/>
          <w:sz w:val="28"/>
          <w:szCs w:val="28"/>
        </w:rPr>
        <w:t>10</w:t>
      </w:r>
      <w:r w:rsidRPr="009321E2">
        <w:rPr>
          <w:b/>
          <w:bCs/>
          <w:sz w:val="28"/>
          <w:szCs w:val="28"/>
        </w:rPr>
        <w:t>: RESEARCH ANIMALS</w:t>
      </w:r>
      <w:r w:rsidRPr="009321E2">
        <w:rPr>
          <w:sz w:val="28"/>
          <w:szCs w:val="28"/>
        </w:rPr>
        <w:t xml:space="preserve"> </w:t>
      </w:r>
    </w:p>
    <w:bookmarkEnd w:id="52"/>
    <w:p w14:paraId="2A3BB095" w14:textId="77777777" w:rsidR="005A0FED" w:rsidRDefault="005A0FED" w:rsidP="0014205E">
      <w:pPr>
        <w:spacing w:after="120"/>
        <w:rPr>
          <w:b/>
          <w:bCs/>
          <w:u w:val="single"/>
        </w:rPr>
      </w:pPr>
    </w:p>
    <w:p w14:paraId="2AA49391" w14:textId="621712DE" w:rsidR="008E0B7F" w:rsidRPr="009321E2" w:rsidRDefault="008E0B7F" w:rsidP="0014205E">
      <w:pPr>
        <w:spacing w:after="120"/>
        <w:rPr>
          <w:b/>
          <w:bCs/>
          <w:u w:val="single"/>
        </w:rPr>
      </w:pPr>
      <w:r w:rsidRPr="009321E2">
        <w:rPr>
          <w:b/>
          <w:bCs/>
          <w:u w:val="single"/>
        </w:rPr>
        <w:t xml:space="preserve">Oversight and Regulatory Compliance </w:t>
      </w:r>
    </w:p>
    <w:p w14:paraId="3F615FE7" w14:textId="2739F7FA" w:rsidR="008E0B7F" w:rsidRPr="0014205E" w:rsidRDefault="008E0B7F" w:rsidP="0014205E">
      <w:pPr>
        <w:spacing w:after="120"/>
        <w:rPr>
          <w:sz w:val="22"/>
          <w:szCs w:val="22"/>
        </w:rPr>
      </w:pPr>
      <w:r w:rsidRPr="0014205E">
        <w:rPr>
          <w:sz w:val="22"/>
          <w:szCs w:val="22"/>
        </w:rPr>
        <w:t>Laboratory animal facilities, operational practices, and quality of animal care must meet applicable standards and regulations (e.g., Guide for the Care and Use of Laboratory Animals and Laboratory Animal Welfare Regulations). There is potential for zoonotic disease transmission to individuals handling research animals, including non-human primates, wild caught animals and any tissues or biological samples derived from these particular animals. All research experiments involving animals must be conducted in accordance with the associated Institutional Animal Care and Use Committee (IACUC) approved protocol. Animal research that involves a hazard (biological, radiological, or chemical) must be reflected in the approved IACUC protocol. All work involving human derived substances, recombinant DNA and synthetic nucleic acid molecules, infectious agents, biological toxins, certain animal-derived substances, and transgenic animals must be registered and approved by the IBC</w:t>
      </w:r>
      <w:r w:rsidR="00C346F4">
        <w:rPr>
          <w:sz w:val="22"/>
          <w:szCs w:val="22"/>
        </w:rPr>
        <w:t xml:space="preserve"> (and possibly the IRB)</w:t>
      </w:r>
      <w:r w:rsidRPr="0014205E">
        <w:rPr>
          <w:sz w:val="22"/>
          <w:szCs w:val="22"/>
        </w:rPr>
        <w:t xml:space="preserve"> prior to commencement of the experiment. The IBC will make the final determination of laboratory and housing containment upon IBC review of the proposed work. </w:t>
      </w:r>
      <w:r w:rsidR="005052F3">
        <w:rPr>
          <w:sz w:val="22"/>
          <w:szCs w:val="22"/>
        </w:rPr>
        <w:t xml:space="preserve">Only </w:t>
      </w:r>
      <w:r w:rsidR="00CA1830">
        <w:rPr>
          <w:sz w:val="22"/>
          <w:szCs w:val="22"/>
        </w:rPr>
        <w:t>IBC</w:t>
      </w:r>
      <w:r w:rsidRPr="0014205E">
        <w:rPr>
          <w:sz w:val="22"/>
          <w:szCs w:val="22"/>
        </w:rPr>
        <w:t xml:space="preserve"> has the authority to increase or lower containment levels based on risk assessment. </w:t>
      </w:r>
    </w:p>
    <w:p w14:paraId="52A21B96" w14:textId="77777777" w:rsidR="00AF56B4" w:rsidRDefault="00AF56B4" w:rsidP="0014205E">
      <w:pPr>
        <w:spacing w:after="120"/>
        <w:rPr>
          <w:b/>
          <w:bCs/>
          <w:u w:val="single"/>
        </w:rPr>
      </w:pPr>
    </w:p>
    <w:p w14:paraId="1085E0AF" w14:textId="7F35EBC0" w:rsidR="008E0B7F" w:rsidRPr="009321E2" w:rsidRDefault="008E0B7F" w:rsidP="0014205E">
      <w:pPr>
        <w:spacing w:after="120"/>
      </w:pPr>
      <w:r w:rsidRPr="009321E2">
        <w:rPr>
          <w:b/>
          <w:bCs/>
          <w:u w:val="single"/>
        </w:rPr>
        <w:t>Animals Administered Biological Materials</w:t>
      </w:r>
      <w:r w:rsidRPr="009321E2">
        <w:t xml:space="preserve"> </w:t>
      </w:r>
    </w:p>
    <w:p w14:paraId="036C7ACD" w14:textId="68F2F3AF" w:rsidR="008E0B7F" w:rsidRPr="0014205E" w:rsidRDefault="008E0B7F" w:rsidP="0014205E">
      <w:pPr>
        <w:spacing w:after="120"/>
        <w:rPr>
          <w:sz w:val="22"/>
          <w:szCs w:val="22"/>
        </w:rPr>
      </w:pPr>
      <w:r w:rsidRPr="0014205E">
        <w:rPr>
          <w:sz w:val="22"/>
          <w:szCs w:val="22"/>
        </w:rPr>
        <w:t>Animal containment facilities are designed to protect personnel from exposure to potentially infectious materials. The containment facilities follow ABSL</w:t>
      </w:r>
      <w:r w:rsidR="009321E2">
        <w:rPr>
          <w:sz w:val="22"/>
          <w:szCs w:val="22"/>
        </w:rPr>
        <w:t>-</w:t>
      </w:r>
      <w:r w:rsidRPr="0014205E">
        <w:rPr>
          <w:sz w:val="22"/>
          <w:szCs w:val="22"/>
        </w:rPr>
        <w:t xml:space="preserve">2 containment requirements </w:t>
      </w:r>
      <w:r w:rsidR="00C346F4" w:rsidRPr="0014205E">
        <w:rPr>
          <w:sz w:val="22"/>
          <w:szCs w:val="22"/>
        </w:rPr>
        <w:t>including</w:t>
      </w:r>
      <w:r w:rsidRPr="0014205E">
        <w:rPr>
          <w:sz w:val="22"/>
          <w:szCs w:val="22"/>
        </w:rPr>
        <w:t xml:space="preserve"> maintaining rooms under negative pressure relative to all entrances and exhausting room air to the outside. All lab staff administering biological materials to animals or staff who will be handling animals following administration must complete the </w:t>
      </w:r>
      <w:r w:rsidR="00C346F4">
        <w:rPr>
          <w:sz w:val="22"/>
          <w:szCs w:val="22"/>
        </w:rPr>
        <w:t>Animal Biosafety and Occupational Health Plan training module</w:t>
      </w:r>
      <w:r w:rsidRPr="0014205E">
        <w:rPr>
          <w:sz w:val="22"/>
          <w:szCs w:val="22"/>
        </w:rPr>
        <w:t xml:space="preserve">. Animals </w:t>
      </w:r>
      <w:r w:rsidR="00C346F4" w:rsidRPr="0014205E">
        <w:rPr>
          <w:sz w:val="22"/>
          <w:szCs w:val="22"/>
        </w:rPr>
        <w:t>assigned to</w:t>
      </w:r>
      <w:r w:rsidRPr="0014205E">
        <w:rPr>
          <w:sz w:val="22"/>
          <w:szCs w:val="22"/>
        </w:rPr>
        <w:t xml:space="preserve"> ABSL</w:t>
      </w:r>
      <w:r w:rsidR="00C346F4">
        <w:rPr>
          <w:sz w:val="22"/>
          <w:szCs w:val="22"/>
        </w:rPr>
        <w:t>-</w:t>
      </w:r>
      <w:r w:rsidRPr="0014205E">
        <w:rPr>
          <w:sz w:val="22"/>
          <w:szCs w:val="22"/>
        </w:rPr>
        <w:t xml:space="preserve">2 must be directly manipulated or administered biological substances within a </w:t>
      </w:r>
      <w:r w:rsidR="000C36DF">
        <w:rPr>
          <w:sz w:val="22"/>
          <w:szCs w:val="22"/>
        </w:rPr>
        <w:t>biosafety cabinet</w:t>
      </w:r>
      <w:r w:rsidRPr="0014205E">
        <w:rPr>
          <w:sz w:val="22"/>
          <w:szCs w:val="22"/>
        </w:rPr>
        <w:t xml:space="preserve"> in accordance with </w:t>
      </w:r>
      <w:r w:rsidR="00AF56B4">
        <w:rPr>
          <w:sz w:val="22"/>
          <w:szCs w:val="22"/>
        </w:rPr>
        <w:t>Office of Safety</w:t>
      </w:r>
      <w:r w:rsidRPr="0014205E">
        <w:rPr>
          <w:sz w:val="22"/>
          <w:szCs w:val="22"/>
        </w:rPr>
        <w:t xml:space="preserve"> </w:t>
      </w:r>
      <w:r w:rsidR="0051064F" w:rsidRPr="0014205E">
        <w:rPr>
          <w:sz w:val="22"/>
          <w:szCs w:val="22"/>
        </w:rPr>
        <w:t>and</w:t>
      </w:r>
      <w:r w:rsidR="0051064F">
        <w:rPr>
          <w:sz w:val="22"/>
          <w:szCs w:val="22"/>
        </w:rPr>
        <w:t xml:space="preserve"> </w:t>
      </w:r>
      <w:r w:rsidR="0051064F" w:rsidRPr="0014205E">
        <w:rPr>
          <w:sz w:val="22"/>
          <w:szCs w:val="22"/>
        </w:rPr>
        <w:t>IACUC</w:t>
      </w:r>
      <w:r w:rsidRPr="0014205E">
        <w:rPr>
          <w:sz w:val="22"/>
          <w:szCs w:val="22"/>
        </w:rPr>
        <w:t>. Situations that may require deviation from this practice must be reviewed and approved prior to work beginning (</w:t>
      </w:r>
      <w:r w:rsidR="00B267E9" w:rsidRPr="0014205E">
        <w:rPr>
          <w:sz w:val="22"/>
          <w:szCs w:val="22"/>
        </w:rPr>
        <w:t>e.g.,</w:t>
      </w:r>
      <w:r w:rsidRPr="0014205E">
        <w:rPr>
          <w:sz w:val="22"/>
          <w:szCs w:val="22"/>
        </w:rPr>
        <w:t xml:space="preserve"> stereotactic injection, large equipment). When animals are administered biological materials, the animal handler must wear appropriate PPE as indicated in the IBC and IACUC protocol approvals. All disposable PPE is single use and must be disposed of in the designated waste container upon exiting the space. Protective eyewear including safety glasses or goggles must be decontaminated and remain in the room. Restraint devices and practices should be used to reduce the risk of exposure during animal manipulation.</w:t>
      </w:r>
    </w:p>
    <w:p w14:paraId="693A1160" w14:textId="77777777" w:rsidR="002A2262" w:rsidRDefault="008E0B7F" w:rsidP="0014205E">
      <w:pPr>
        <w:spacing w:after="120"/>
        <w:rPr>
          <w:sz w:val="22"/>
          <w:szCs w:val="22"/>
        </w:rPr>
      </w:pPr>
      <w:r w:rsidRPr="0014205E">
        <w:rPr>
          <w:sz w:val="22"/>
          <w:szCs w:val="22"/>
        </w:rPr>
        <w:t xml:space="preserve">Equipment and surfaces must be decontaminated after use and floors must be regularly cleaned. All equipment and </w:t>
      </w:r>
      <w:r w:rsidR="00AF56B4" w:rsidRPr="0014205E">
        <w:rPr>
          <w:sz w:val="22"/>
          <w:szCs w:val="22"/>
        </w:rPr>
        <w:t>waste</w:t>
      </w:r>
      <w:r w:rsidRPr="0014205E">
        <w:rPr>
          <w:sz w:val="22"/>
          <w:szCs w:val="22"/>
        </w:rPr>
        <w:t xml:space="preserve"> must be decontaminated by autoclaving or by other appropriate means before leaving the facility or must be appropriately contained until this can occur. </w:t>
      </w:r>
    </w:p>
    <w:p w14:paraId="1EFE3E4C" w14:textId="77777777" w:rsidR="0051064F" w:rsidRDefault="0051064F" w:rsidP="0014205E">
      <w:pPr>
        <w:spacing w:after="120"/>
        <w:rPr>
          <w:sz w:val="22"/>
          <w:szCs w:val="22"/>
        </w:rPr>
      </w:pPr>
    </w:p>
    <w:p w14:paraId="1EFEBE11" w14:textId="73B9843C" w:rsidR="00AF56B4" w:rsidRDefault="008E0B7F" w:rsidP="0014205E">
      <w:pPr>
        <w:spacing w:after="120"/>
        <w:rPr>
          <w:sz w:val="22"/>
          <w:szCs w:val="22"/>
        </w:rPr>
      </w:pPr>
      <w:r w:rsidRPr="00AF56B4">
        <w:rPr>
          <w:b/>
          <w:bCs/>
          <w:sz w:val="22"/>
          <w:szCs w:val="22"/>
        </w:rPr>
        <w:lastRenderedPageBreak/>
        <w:t>Necropsy, Dissection, and Tissue Harvest</w:t>
      </w:r>
      <w:r w:rsidRPr="0014205E">
        <w:rPr>
          <w:sz w:val="22"/>
          <w:szCs w:val="22"/>
        </w:rPr>
        <w:t xml:space="preserve"> </w:t>
      </w:r>
    </w:p>
    <w:p w14:paraId="574C894D" w14:textId="27AC179B" w:rsidR="00AF56B4" w:rsidRDefault="008E0B7F" w:rsidP="0014205E">
      <w:pPr>
        <w:spacing w:after="120"/>
        <w:rPr>
          <w:sz w:val="22"/>
          <w:szCs w:val="22"/>
        </w:rPr>
      </w:pPr>
      <w:r w:rsidRPr="0014205E">
        <w:rPr>
          <w:sz w:val="22"/>
          <w:szCs w:val="22"/>
        </w:rPr>
        <w:t>Procedures such as necropsy, dissection, and harvesting tissue from animals are considered aerosol and/or splash generating. Use of certain tools (</w:t>
      </w:r>
      <w:r w:rsidR="00B267E9" w:rsidRPr="0014205E">
        <w:rPr>
          <w:sz w:val="22"/>
          <w:szCs w:val="22"/>
        </w:rPr>
        <w:t>i.e.,</w:t>
      </w:r>
      <w:r w:rsidRPr="0014205E">
        <w:rPr>
          <w:sz w:val="22"/>
          <w:szCs w:val="22"/>
        </w:rPr>
        <w:t xml:space="preserve"> power tools, bone saws) can increase aerosol generation and exposure risk. Large animal necropsy may have a higher risk of splashes from infectious fluids. Since sharps are used for </w:t>
      </w:r>
      <w:r w:rsidR="0051064F" w:rsidRPr="0014205E">
        <w:rPr>
          <w:sz w:val="22"/>
          <w:szCs w:val="22"/>
        </w:rPr>
        <w:t>necropsy,</w:t>
      </w:r>
      <w:r w:rsidRPr="0014205E">
        <w:rPr>
          <w:sz w:val="22"/>
          <w:szCs w:val="22"/>
        </w:rPr>
        <w:t xml:space="preserve"> this increases the risk of sharps related injuries. </w:t>
      </w:r>
    </w:p>
    <w:p w14:paraId="5DCBA3E8" w14:textId="1373C523" w:rsidR="00AF56B4" w:rsidRDefault="008E0B7F" w:rsidP="0014205E">
      <w:pPr>
        <w:spacing w:after="120"/>
        <w:rPr>
          <w:sz w:val="22"/>
          <w:szCs w:val="22"/>
        </w:rPr>
      </w:pPr>
      <w:r w:rsidRPr="0014205E">
        <w:rPr>
          <w:sz w:val="22"/>
          <w:szCs w:val="22"/>
        </w:rPr>
        <w:t>All necropsies, dissections, or tissue harvests performed on animals administered any material designated as BSL</w:t>
      </w:r>
      <w:r w:rsidR="002A2262">
        <w:rPr>
          <w:sz w:val="22"/>
          <w:szCs w:val="22"/>
        </w:rPr>
        <w:t>-</w:t>
      </w:r>
      <w:r w:rsidRPr="0014205E">
        <w:rPr>
          <w:sz w:val="22"/>
          <w:szCs w:val="22"/>
        </w:rPr>
        <w:t>2 or housed at ABSL</w:t>
      </w:r>
      <w:r w:rsidR="002A2262">
        <w:rPr>
          <w:sz w:val="22"/>
          <w:szCs w:val="22"/>
        </w:rPr>
        <w:t>-</w:t>
      </w:r>
      <w:r w:rsidRPr="0014205E">
        <w:rPr>
          <w:sz w:val="22"/>
          <w:szCs w:val="22"/>
        </w:rPr>
        <w:t xml:space="preserve">2 should occur within primary engineering </w:t>
      </w:r>
      <w:r w:rsidR="0051064F" w:rsidRPr="0014205E">
        <w:rPr>
          <w:sz w:val="22"/>
          <w:szCs w:val="22"/>
        </w:rPr>
        <w:t>controls,</w:t>
      </w:r>
      <w:r w:rsidRPr="0014205E">
        <w:rPr>
          <w:sz w:val="22"/>
          <w:szCs w:val="22"/>
        </w:rPr>
        <w:t xml:space="preserve"> such as a biosafety cabinet, back draft table, or other appropriate containment device. If containment housing duration determined by the IBC has been met or exceeded, then primary containment may not be required for necropsy. </w:t>
      </w:r>
    </w:p>
    <w:p w14:paraId="28C93861" w14:textId="39A94B60" w:rsidR="00AF56B4" w:rsidRDefault="008E0B7F" w:rsidP="0014205E">
      <w:pPr>
        <w:spacing w:after="120"/>
        <w:rPr>
          <w:sz w:val="22"/>
          <w:szCs w:val="22"/>
        </w:rPr>
      </w:pPr>
      <w:r w:rsidRPr="0014205E">
        <w:rPr>
          <w:sz w:val="22"/>
          <w:szCs w:val="22"/>
        </w:rPr>
        <w:t xml:space="preserve">Any deviations from this must be reviewed and approved by IBC and </w:t>
      </w:r>
      <w:r w:rsidR="006F6990">
        <w:rPr>
          <w:sz w:val="22"/>
          <w:szCs w:val="22"/>
        </w:rPr>
        <w:t>Office of Safety</w:t>
      </w:r>
      <w:r w:rsidRPr="0014205E">
        <w:rPr>
          <w:sz w:val="22"/>
          <w:szCs w:val="22"/>
        </w:rPr>
        <w:t xml:space="preserve"> staff prior to work beginning. </w:t>
      </w:r>
    </w:p>
    <w:p w14:paraId="260AC37A" w14:textId="77777777" w:rsidR="008E0B7F" w:rsidRPr="0014205E" w:rsidRDefault="008E0B7F" w:rsidP="0014205E">
      <w:pPr>
        <w:spacing w:after="120"/>
        <w:rPr>
          <w:sz w:val="22"/>
          <w:szCs w:val="22"/>
        </w:rPr>
      </w:pPr>
    </w:p>
    <w:p w14:paraId="16221D2F" w14:textId="77777777" w:rsidR="00AF56B4" w:rsidRDefault="00AF56B4">
      <w:pPr>
        <w:rPr>
          <w:b/>
          <w:bCs/>
          <w:sz w:val="28"/>
          <w:szCs w:val="28"/>
        </w:rPr>
      </w:pPr>
      <w:r>
        <w:rPr>
          <w:b/>
          <w:bCs/>
          <w:sz w:val="28"/>
          <w:szCs w:val="28"/>
        </w:rPr>
        <w:br w:type="page"/>
      </w:r>
    </w:p>
    <w:p w14:paraId="7E025714" w14:textId="459C3ECD" w:rsidR="008E0B7F" w:rsidRPr="009321E2" w:rsidRDefault="008E0B7F" w:rsidP="0014205E">
      <w:pPr>
        <w:spacing w:after="120"/>
        <w:rPr>
          <w:sz w:val="28"/>
          <w:szCs w:val="28"/>
        </w:rPr>
      </w:pPr>
      <w:bookmarkStart w:id="53" w:name="S11MedicalSurveillance"/>
      <w:r w:rsidRPr="009321E2">
        <w:rPr>
          <w:b/>
          <w:bCs/>
          <w:sz w:val="28"/>
          <w:szCs w:val="28"/>
        </w:rPr>
        <w:lastRenderedPageBreak/>
        <w:t>SECTION 1</w:t>
      </w:r>
      <w:r w:rsidR="00AF56B4">
        <w:rPr>
          <w:b/>
          <w:bCs/>
          <w:sz w:val="28"/>
          <w:szCs w:val="28"/>
        </w:rPr>
        <w:t>1</w:t>
      </w:r>
      <w:r w:rsidRPr="009321E2">
        <w:rPr>
          <w:b/>
          <w:bCs/>
          <w:sz w:val="28"/>
          <w:szCs w:val="28"/>
        </w:rPr>
        <w:t>: MEDICAL SURVEILLANCE</w:t>
      </w:r>
      <w:r w:rsidRPr="009321E2">
        <w:rPr>
          <w:sz w:val="28"/>
          <w:szCs w:val="28"/>
        </w:rPr>
        <w:t xml:space="preserve"> </w:t>
      </w:r>
    </w:p>
    <w:bookmarkEnd w:id="53"/>
    <w:p w14:paraId="186FBC4E" w14:textId="77777777" w:rsidR="002A2262" w:rsidRDefault="002A2262" w:rsidP="0014205E">
      <w:pPr>
        <w:spacing w:after="120"/>
        <w:rPr>
          <w:sz w:val="22"/>
          <w:szCs w:val="22"/>
        </w:rPr>
      </w:pPr>
    </w:p>
    <w:p w14:paraId="523C1C75" w14:textId="6F795B53" w:rsidR="006F6990" w:rsidRDefault="008E0B7F" w:rsidP="0014205E">
      <w:pPr>
        <w:spacing w:after="120"/>
        <w:rPr>
          <w:sz w:val="22"/>
          <w:szCs w:val="22"/>
        </w:rPr>
      </w:pPr>
      <w:r w:rsidRPr="0014205E">
        <w:rPr>
          <w:sz w:val="22"/>
          <w:szCs w:val="22"/>
        </w:rPr>
        <w:t>An appropriate medical surveillance program must be in place for all work that requires BSL</w:t>
      </w:r>
      <w:r w:rsidR="002A2262">
        <w:rPr>
          <w:sz w:val="22"/>
          <w:szCs w:val="22"/>
        </w:rPr>
        <w:t>-</w:t>
      </w:r>
      <w:r w:rsidRPr="0014205E">
        <w:rPr>
          <w:sz w:val="22"/>
          <w:szCs w:val="22"/>
        </w:rPr>
        <w:t xml:space="preserve">2 containment or higher, as determined by risk assessment. Laboratory personnel must be </w:t>
      </w:r>
      <w:r w:rsidR="002A2262" w:rsidRPr="0014205E">
        <w:rPr>
          <w:sz w:val="22"/>
          <w:szCs w:val="22"/>
        </w:rPr>
        <w:t>provided with</w:t>
      </w:r>
      <w:r w:rsidRPr="0014205E">
        <w:rPr>
          <w:sz w:val="22"/>
          <w:szCs w:val="22"/>
        </w:rPr>
        <w:t xml:space="preserve"> medical surveillance and offered appropriate immunizations for agents handled or potentially present in the laboratory. Personnel using respirators must be enrolled in the </w:t>
      </w:r>
      <w:r w:rsidR="006F6990">
        <w:rPr>
          <w:sz w:val="22"/>
          <w:szCs w:val="22"/>
        </w:rPr>
        <w:t>UND</w:t>
      </w:r>
      <w:r w:rsidRPr="0014205E">
        <w:rPr>
          <w:sz w:val="22"/>
          <w:szCs w:val="22"/>
        </w:rPr>
        <w:t xml:space="preserve"> Respiratory Protection Program. Certain identifiable sub-populations may have more risk for infection with certain hazards. Listed below are some additional factors that may affect a person’s risk for infection. </w:t>
      </w:r>
    </w:p>
    <w:p w14:paraId="2E146E73" w14:textId="77777777" w:rsidR="006F6990" w:rsidRDefault="008E0B7F" w:rsidP="000A313A">
      <w:pPr>
        <w:pStyle w:val="ListParagraph"/>
        <w:numPr>
          <w:ilvl w:val="0"/>
          <w:numId w:val="54"/>
        </w:numPr>
        <w:spacing w:after="120"/>
        <w:rPr>
          <w:sz w:val="22"/>
          <w:szCs w:val="22"/>
        </w:rPr>
      </w:pPr>
      <w:r w:rsidRPr="006F6990">
        <w:rPr>
          <w:sz w:val="22"/>
          <w:szCs w:val="22"/>
        </w:rPr>
        <w:t xml:space="preserve">Certain medical conditions; diabetes, HIV, sickle cell disease, immune disorders, blood disorders </w:t>
      </w:r>
    </w:p>
    <w:p w14:paraId="4FC6BE09" w14:textId="1476D6A0" w:rsidR="006F6990" w:rsidRPr="006F6990" w:rsidRDefault="008E0B7F" w:rsidP="000A313A">
      <w:pPr>
        <w:pStyle w:val="ListParagraph"/>
        <w:numPr>
          <w:ilvl w:val="0"/>
          <w:numId w:val="54"/>
        </w:numPr>
        <w:spacing w:after="120"/>
        <w:rPr>
          <w:sz w:val="22"/>
          <w:szCs w:val="22"/>
        </w:rPr>
      </w:pPr>
      <w:r w:rsidRPr="006F6990">
        <w:rPr>
          <w:sz w:val="22"/>
          <w:szCs w:val="22"/>
        </w:rPr>
        <w:t xml:space="preserve">Illnesses </w:t>
      </w:r>
    </w:p>
    <w:p w14:paraId="3FA772A2" w14:textId="27D4DAA4" w:rsidR="006F6990" w:rsidRDefault="008E0B7F" w:rsidP="000A313A">
      <w:pPr>
        <w:pStyle w:val="ListParagraph"/>
        <w:numPr>
          <w:ilvl w:val="0"/>
          <w:numId w:val="54"/>
        </w:numPr>
        <w:spacing w:after="120"/>
        <w:rPr>
          <w:sz w:val="22"/>
          <w:szCs w:val="22"/>
        </w:rPr>
      </w:pPr>
      <w:r w:rsidRPr="006F6990">
        <w:rPr>
          <w:sz w:val="22"/>
          <w:szCs w:val="22"/>
        </w:rPr>
        <w:t xml:space="preserve">Taking certain medications which may weaken the immune </w:t>
      </w:r>
      <w:r w:rsidR="00353560" w:rsidRPr="006F6990">
        <w:rPr>
          <w:sz w:val="22"/>
          <w:szCs w:val="22"/>
        </w:rPr>
        <w:t>system.</w:t>
      </w:r>
      <w:r w:rsidRPr="006F6990">
        <w:rPr>
          <w:sz w:val="22"/>
          <w:szCs w:val="22"/>
        </w:rPr>
        <w:t xml:space="preserve"> </w:t>
      </w:r>
    </w:p>
    <w:p w14:paraId="50008818" w14:textId="77777777" w:rsidR="006F6990" w:rsidRDefault="008E0B7F" w:rsidP="000A313A">
      <w:pPr>
        <w:pStyle w:val="ListParagraph"/>
        <w:numPr>
          <w:ilvl w:val="1"/>
          <w:numId w:val="54"/>
        </w:numPr>
        <w:spacing w:after="120"/>
        <w:rPr>
          <w:sz w:val="22"/>
          <w:szCs w:val="22"/>
        </w:rPr>
      </w:pPr>
      <w:r w:rsidRPr="006F6990">
        <w:rPr>
          <w:sz w:val="22"/>
          <w:szCs w:val="22"/>
        </w:rPr>
        <w:t xml:space="preserve">Steroids </w:t>
      </w:r>
    </w:p>
    <w:p w14:paraId="4C6309DD" w14:textId="77777777" w:rsidR="00463218" w:rsidRDefault="008E0B7F" w:rsidP="000A313A">
      <w:pPr>
        <w:pStyle w:val="ListParagraph"/>
        <w:numPr>
          <w:ilvl w:val="1"/>
          <w:numId w:val="54"/>
        </w:numPr>
        <w:spacing w:after="120"/>
        <w:rPr>
          <w:sz w:val="22"/>
          <w:szCs w:val="22"/>
        </w:rPr>
      </w:pPr>
      <w:r w:rsidRPr="006F6990">
        <w:rPr>
          <w:sz w:val="22"/>
          <w:szCs w:val="22"/>
        </w:rPr>
        <w:t>Antibiotics</w:t>
      </w:r>
    </w:p>
    <w:p w14:paraId="2A821E4F" w14:textId="77777777" w:rsidR="00463218" w:rsidRDefault="00463218" w:rsidP="000A313A">
      <w:pPr>
        <w:pStyle w:val="ListParagraph"/>
        <w:numPr>
          <w:ilvl w:val="1"/>
          <w:numId w:val="54"/>
        </w:numPr>
        <w:spacing w:after="120"/>
        <w:rPr>
          <w:sz w:val="22"/>
          <w:szCs w:val="22"/>
        </w:rPr>
      </w:pPr>
      <w:r>
        <w:rPr>
          <w:sz w:val="22"/>
          <w:szCs w:val="22"/>
        </w:rPr>
        <w:t>Monoclonal Antibody Therapy</w:t>
      </w:r>
    </w:p>
    <w:p w14:paraId="287ECB78" w14:textId="3A3A364A" w:rsidR="006F6990" w:rsidRPr="006F6990" w:rsidRDefault="00463218" w:rsidP="000A313A">
      <w:pPr>
        <w:pStyle w:val="ListParagraph"/>
        <w:numPr>
          <w:ilvl w:val="1"/>
          <w:numId w:val="54"/>
        </w:numPr>
        <w:spacing w:after="120"/>
        <w:rPr>
          <w:sz w:val="22"/>
          <w:szCs w:val="22"/>
        </w:rPr>
      </w:pPr>
      <w:r>
        <w:rPr>
          <w:sz w:val="22"/>
          <w:szCs w:val="22"/>
        </w:rPr>
        <w:t>Biological Therapy</w:t>
      </w:r>
      <w:r w:rsidR="008E0B7F" w:rsidRPr="006F6990">
        <w:rPr>
          <w:sz w:val="22"/>
          <w:szCs w:val="22"/>
        </w:rPr>
        <w:t xml:space="preserve"> </w:t>
      </w:r>
    </w:p>
    <w:p w14:paraId="623C1BF2" w14:textId="55B9B97D" w:rsidR="006F6990" w:rsidRPr="006F6990" w:rsidRDefault="008E0B7F" w:rsidP="000A313A">
      <w:pPr>
        <w:pStyle w:val="ListParagraph"/>
        <w:numPr>
          <w:ilvl w:val="0"/>
          <w:numId w:val="54"/>
        </w:numPr>
        <w:spacing w:after="120"/>
        <w:rPr>
          <w:sz w:val="22"/>
          <w:szCs w:val="22"/>
        </w:rPr>
      </w:pPr>
      <w:r w:rsidRPr="006F6990">
        <w:rPr>
          <w:sz w:val="22"/>
          <w:szCs w:val="22"/>
        </w:rPr>
        <w:t xml:space="preserve">Pregnancy </w:t>
      </w:r>
    </w:p>
    <w:p w14:paraId="7154C165" w14:textId="05BEDF5C" w:rsidR="006F6990" w:rsidRPr="006F6990" w:rsidRDefault="008E0B7F" w:rsidP="000A313A">
      <w:pPr>
        <w:pStyle w:val="ListParagraph"/>
        <w:numPr>
          <w:ilvl w:val="0"/>
          <w:numId w:val="54"/>
        </w:numPr>
        <w:spacing w:after="120"/>
        <w:rPr>
          <w:sz w:val="22"/>
          <w:szCs w:val="22"/>
        </w:rPr>
      </w:pPr>
      <w:r w:rsidRPr="006F6990">
        <w:rPr>
          <w:sz w:val="22"/>
          <w:szCs w:val="22"/>
        </w:rPr>
        <w:t xml:space="preserve">Undergoing chemotherapy or radiation therapy </w:t>
      </w:r>
    </w:p>
    <w:p w14:paraId="61291EF4" w14:textId="0E05204E" w:rsidR="008E0B7F" w:rsidRPr="006F6990" w:rsidRDefault="008E0B7F" w:rsidP="000A313A">
      <w:pPr>
        <w:pStyle w:val="ListParagraph"/>
        <w:numPr>
          <w:ilvl w:val="0"/>
          <w:numId w:val="54"/>
        </w:numPr>
        <w:spacing w:after="120"/>
        <w:rPr>
          <w:sz w:val="22"/>
          <w:szCs w:val="22"/>
        </w:rPr>
      </w:pPr>
      <w:r w:rsidRPr="006F6990">
        <w:rPr>
          <w:sz w:val="22"/>
          <w:szCs w:val="22"/>
        </w:rPr>
        <w:t>Organ transplant</w:t>
      </w:r>
    </w:p>
    <w:p w14:paraId="601C5EE5" w14:textId="343336B5" w:rsidR="008E0B7F" w:rsidRPr="0014205E" w:rsidRDefault="008E0B7F" w:rsidP="0014205E">
      <w:pPr>
        <w:spacing w:after="120"/>
        <w:rPr>
          <w:sz w:val="22"/>
          <w:szCs w:val="22"/>
        </w:rPr>
      </w:pPr>
      <w:r w:rsidRPr="0014205E">
        <w:rPr>
          <w:sz w:val="22"/>
          <w:szCs w:val="22"/>
        </w:rPr>
        <w:t>The PI or supervisory personnel should ensure that medical staff are informed of potential occupational hazards associated with all research. Personal health status may impact an individual’s susceptibility to infection, ability to receive immunizations or prophylactic interventions. Therefore, all personnel and particularly</w:t>
      </w:r>
      <w:r w:rsidR="00AF56B4">
        <w:rPr>
          <w:sz w:val="22"/>
          <w:szCs w:val="22"/>
        </w:rPr>
        <w:t xml:space="preserve"> </w:t>
      </w:r>
      <w:r w:rsidRPr="0014205E">
        <w:rPr>
          <w:sz w:val="22"/>
          <w:szCs w:val="22"/>
        </w:rPr>
        <w:t xml:space="preserve">people of childbearing age should be </w:t>
      </w:r>
      <w:r w:rsidR="002A2262" w:rsidRPr="0014205E">
        <w:rPr>
          <w:sz w:val="22"/>
          <w:szCs w:val="22"/>
        </w:rPr>
        <w:t>provided with</w:t>
      </w:r>
      <w:r w:rsidRPr="0014205E">
        <w:rPr>
          <w:sz w:val="22"/>
          <w:szCs w:val="22"/>
        </w:rPr>
        <w:t xml:space="preserve"> information regarding immune competence and conditions that may predispose them to infection. Individuals having these conditions should be encouraged to self-identify </w:t>
      </w:r>
      <w:r w:rsidR="002A2262" w:rsidRPr="0014205E">
        <w:rPr>
          <w:sz w:val="22"/>
          <w:szCs w:val="22"/>
        </w:rPr>
        <w:t>with</w:t>
      </w:r>
      <w:r w:rsidRPr="0014205E">
        <w:rPr>
          <w:sz w:val="22"/>
          <w:szCs w:val="22"/>
        </w:rPr>
        <w:t xml:space="preserve"> U</w:t>
      </w:r>
      <w:r w:rsidR="006F6990">
        <w:rPr>
          <w:sz w:val="22"/>
          <w:szCs w:val="22"/>
        </w:rPr>
        <w:t>ND</w:t>
      </w:r>
      <w:r w:rsidRPr="0014205E">
        <w:rPr>
          <w:sz w:val="22"/>
          <w:szCs w:val="22"/>
        </w:rPr>
        <w:t xml:space="preserve"> </w:t>
      </w:r>
      <w:r w:rsidR="006F6990">
        <w:rPr>
          <w:sz w:val="22"/>
          <w:szCs w:val="22"/>
        </w:rPr>
        <w:t>Occupational Health</w:t>
      </w:r>
      <w:r w:rsidRPr="0014205E">
        <w:rPr>
          <w:sz w:val="22"/>
          <w:szCs w:val="22"/>
        </w:rPr>
        <w:t xml:space="preserve"> provider or personal physician, their lab director, or U</w:t>
      </w:r>
      <w:r w:rsidR="006F6990">
        <w:rPr>
          <w:sz w:val="22"/>
          <w:szCs w:val="22"/>
        </w:rPr>
        <w:t>ND</w:t>
      </w:r>
      <w:r w:rsidRPr="0014205E">
        <w:rPr>
          <w:sz w:val="22"/>
          <w:szCs w:val="22"/>
        </w:rPr>
        <w:t xml:space="preserve"> </w:t>
      </w:r>
      <w:r w:rsidR="006F6990">
        <w:rPr>
          <w:sz w:val="22"/>
          <w:szCs w:val="22"/>
        </w:rPr>
        <w:t xml:space="preserve">Office of </w:t>
      </w:r>
      <w:r w:rsidRPr="0014205E">
        <w:rPr>
          <w:sz w:val="22"/>
          <w:szCs w:val="22"/>
        </w:rPr>
        <w:t xml:space="preserve">Safety for appropriate guidance and counseling. Protective vaccines, if available and appropriate based on work, will be provided by Occupational Health Services (OHS) at no cost to the employee. </w:t>
      </w:r>
    </w:p>
    <w:p w14:paraId="64D4394E" w14:textId="77777777" w:rsidR="008E0B7F" w:rsidRPr="0014205E" w:rsidRDefault="008E0B7F" w:rsidP="0014205E">
      <w:pPr>
        <w:spacing w:after="120"/>
        <w:rPr>
          <w:sz w:val="22"/>
          <w:szCs w:val="22"/>
        </w:rPr>
      </w:pPr>
    </w:p>
    <w:p w14:paraId="7AE3A8B5" w14:textId="77777777" w:rsidR="002A2262" w:rsidRDefault="002A2262">
      <w:pPr>
        <w:rPr>
          <w:b/>
          <w:bCs/>
          <w:sz w:val="28"/>
          <w:szCs w:val="28"/>
        </w:rPr>
      </w:pPr>
      <w:r>
        <w:rPr>
          <w:b/>
          <w:bCs/>
          <w:sz w:val="28"/>
          <w:szCs w:val="28"/>
        </w:rPr>
        <w:br w:type="page"/>
      </w:r>
    </w:p>
    <w:p w14:paraId="436AD88D" w14:textId="2BC68B88" w:rsidR="008E0B7F" w:rsidRPr="00AF56B4" w:rsidRDefault="008E0B7F" w:rsidP="0014205E">
      <w:pPr>
        <w:spacing w:after="120"/>
        <w:rPr>
          <w:sz w:val="28"/>
          <w:szCs w:val="28"/>
        </w:rPr>
      </w:pPr>
      <w:bookmarkStart w:id="54" w:name="S12EmergManag"/>
      <w:r w:rsidRPr="00AF56B4">
        <w:rPr>
          <w:b/>
          <w:bCs/>
          <w:sz w:val="28"/>
          <w:szCs w:val="28"/>
        </w:rPr>
        <w:lastRenderedPageBreak/>
        <w:t>SECTION 1</w:t>
      </w:r>
      <w:r w:rsidR="00AF56B4" w:rsidRPr="00AF56B4">
        <w:rPr>
          <w:b/>
          <w:bCs/>
          <w:sz w:val="28"/>
          <w:szCs w:val="28"/>
        </w:rPr>
        <w:t>2</w:t>
      </w:r>
      <w:r w:rsidRPr="00AF56B4">
        <w:rPr>
          <w:b/>
          <w:bCs/>
          <w:sz w:val="28"/>
          <w:szCs w:val="28"/>
        </w:rPr>
        <w:t>: EMERGENCY MANAGEMENT</w:t>
      </w:r>
      <w:r w:rsidRPr="00AF56B4">
        <w:rPr>
          <w:sz w:val="28"/>
          <w:szCs w:val="28"/>
        </w:rPr>
        <w:t xml:space="preserve"> </w:t>
      </w:r>
    </w:p>
    <w:bookmarkEnd w:id="54"/>
    <w:p w14:paraId="6308A888" w14:textId="77777777" w:rsidR="00AF56B4" w:rsidRDefault="00AF56B4" w:rsidP="0014205E">
      <w:pPr>
        <w:spacing w:after="120"/>
        <w:rPr>
          <w:b/>
          <w:bCs/>
          <w:sz w:val="22"/>
          <w:szCs w:val="22"/>
          <w:u w:val="single"/>
        </w:rPr>
      </w:pPr>
    </w:p>
    <w:p w14:paraId="7B5DEEF6" w14:textId="5E75AA07" w:rsidR="008E0B7F" w:rsidRPr="00AF56B4" w:rsidRDefault="008E0B7F" w:rsidP="0014205E">
      <w:pPr>
        <w:spacing w:after="120"/>
      </w:pPr>
      <w:r w:rsidRPr="00AF56B4">
        <w:rPr>
          <w:b/>
          <w:bCs/>
          <w:u w:val="single"/>
        </w:rPr>
        <w:t>Spill Response Procedures for Biohazardous Material</w:t>
      </w:r>
      <w:r w:rsidRPr="00AF56B4">
        <w:t xml:space="preserve"> </w:t>
      </w:r>
    </w:p>
    <w:p w14:paraId="5AAC2281" w14:textId="77777777" w:rsidR="00AF3975" w:rsidRDefault="008E0B7F" w:rsidP="0014205E">
      <w:pPr>
        <w:spacing w:after="120"/>
        <w:rPr>
          <w:sz w:val="22"/>
          <w:szCs w:val="22"/>
        </w:rPr>
      </w:pPr>
      <w:r w:rsidRPr="0014205E">
        <w:rPr>
          <w:sz w:val="22"/>
          <w:szCs w:val="22"/>
        </w:rPr>
        <w:t xml:space="preserve">Spills and accidents should be immediately reported to the PI and </w:t>
      </w:r>
      <w:r w:rsidR="006F6990">
        <w:rPr>
          <w:sz w:val="22"/>
          <w:szCs w:val="22"/>
        </w:rPr>
        <w:t>the Office of Safety</w:t>
      </w:r>
      <w:r w:rsidRPr="0014205E">
        <w:rPr>
          <w:sz w:val="22"/>
          <w:szCs w:val="22"/>
        </w:rPr>
        <w:t xml:space="preserve">. </w:t>
      </w:r>
      <w:r w:rsidR="006F6990">
        <w:rPr>
          <w:sz w:val="22"/>
          <w:szCs w:val="22"/>
        </w:rPr>
        <w:t>The Office of Safety</w:t>
      </w:r>
      <w:r w:rsidRPr="0014205E">
        <w:rPr>
          <w:sz w:val="22"/>
          <w:szCs w:val="22"/>
        </w:rPr>
        <w:t xml:space="preserve"> may be contacted for assistance with biohazardous material spills. Complete </w:t>
      </w:r>
      <w:r w:rsidR="006F6990">
        <w:rPr>
          <w:sz w:val="22"/>
          <w:szCs w:val="22"/>
        </w:rPr>
        <w:t xml:space="preserve">the Office of Safety </w:t>
      </w:r>
      <w:r w:rsidRPr="0014205E">
        <w:rPr>
          <w:sz w:val="22"/>
          <w:szCs w:val="22"/>
        </w:rPr>
        <w:t xml:space="preserve">Incident form. </w:t>
      </w:r>
    </w:p>
    <w:p w14:paraId="635A1720" w14:textId="77777777" w:rsidR="00AF3975" w:rsidRDefault="008E0B7F" w:rsidP="0014205E">
      <w:pPr>
        <w:spacing w:after="120"/>
        <w:rPr>
          <w:sz w:val="22"/>
          <w:szCs w:val="22"/>
        </w:rPr>
      </w:pPr>
      <w:bookmarkStart w:id="55" w:name="SpillinLab"/>
      <w:r w:rsidRPr="00AF3975">
        <w:rPr>
          <w:b/>
          <w:bCs/>
          <w:sz w:val="22"/>
          <w:szCs w:val="22"/>
        </w:rPr>
        <w:t>Spill in the Laboratory</w:t>
      </w:r>
      <w:r w:rsidRPr="0014205E">
        <w:rPr>
          <w:sz w:val="22"/>
          <w:szCs w:val="22"/>
        </w:rPr>
        <w:t xml:space="preserve"> </w:t>
      </w:r>
    </w:p>
    <w:bookmarkEnd w:id="55"/>
    <w:p w14:paraId="414032EA" w14:textId="57B276DB" w:rsidR="00AF3975" w:rsidRPr="00AF3975" w:rsidRDefault="008E0B7F" w:rsidP="000A313A">
      <w:pPr>
        <w:pStyle w:val="ListParagraph"/>
        <w:numPr>
          <w:ilvl w:val="0"/>
          <w:numId w:val="55"/>
        </w:numPr>
        <w:spacing w:after="120"/>
        <w:rPr>
          <w:sz w:val="22"/>
          <w:szCs w:val="22"/>
        </w:rPr>
      </w:pPr>
      <w:r w:rsidRPr="00AF3975">
        <w:rPr>
          <w:sz w:val="22"/>
          <w:szCs w:val="22"/>
        </w:rPr>
        <w:t xml:space="preserve">Alert others in the lab, post a warning sign if necessary and inform your supervisor. Review clean-up procedures, assemble decontamination materials and PPE. </w:t>
      </w:r>
    </w:p>
    <w:p w14:paraId="1A28D790" w14:textId="7E6A10DB" w:rsidR="00AF3975" w:rsidRPr="00AF3975" w:rsidRDefault="008E0B7F" w:rsidP="000A313A">
      <w:pPr>
        <w:pStyle w:val="ListParagraph"/>
        <w:numPr>
          <w:ilvl w:val="0"/>
          <w:numId w:val="55"/>
        </w:numPr>
        <w:spacing w:after="120"/>
        <w:rPr>
          <w:sz w:val="22"/>
          <w:szCs w:val="22"/>
        </w:rPr>
      </w:pPr>
      <w:r w:rsidRPr="00AF3975">
        <w:rPr>
          <w:sz w:val="22"/>
          <w:szCs w:val="22"/>
        </w:rPr>
        <w:t>Don PPE</w:t>
      </w:r>
      <w:r w:rsidR="00AF3975" w:rsidRPr="00AF3975">
        <w:rPr>
          <w:sz w:val="22"/>
          <w:szCs w:val="22"/>
        </w:rPr>
        <w:t>:</w:t>
      </w:r>
      <w:r w:rsidRPr="00AF3975">
        <w:rPr>
          <w:sz w:val="22"/>
          <w:szCs w:val="22"/>
        </w:rPr>
        <w:t xml:space="preserve"> lab coat, gloves, and safety glasses. </w:t>
      </w:r>
    </w:p>
    <w:p w14:paraId="2BA07B42" w14:textId="1A3213E9" w:rsidR="00AF3975" w:rsidRPr="00AF3975" w:rsidRDefault="008E0B7F" w:rsidP="000A313A">
      <w:pPr>
        <w:pStyle w:val="ListParagraph"/>
        <w:numPr>
          <w:ilvl w:val="0"/>
          <w:numId w:val="55"/>
        </w:numPr>
        <w:spacing w:after="120"/>
        <w:rPr>
          <w:sz w:val="22"/>
          <w:szCs w:val="22"/>
        </w:rPr>
      </w:pPr>
      <w:r w:rsidRPr="00AF3975">
        <w:rPr>
          <w:sz w:val="22"/>
          <w:szCs w:val="22"/>
        </w:rPr>
        <w:t xml:space="preserve">Remove sharp objects using a mechanical means and </w:t>
      </w:r>
      <w:r w:rsidR="008C3607" w:rsidRPr="00AF3975">
        <w:rPr>
          <w:sz w:val="22"/>
          <w:szCs w:val="22"/>
        </w:rPr>
        <w:t>place them</w:t>
      </w:r>
      <w:r w:rsidRPr="00AF3975">
        <w:rPr>
          <w:sz w:val="22"/>
          <w:szCs w:val="22"/>
        </w:rPr>
        <w:t xml:space="preserve"> into a sharps container. </w:t>
      </w:r>
    </w:p>
    <w:p w14:paraId="4F474DE5" w14:textId="184CC763" w:rsidR="00AF3975" w:rsidRPr="00AF3975" w:rsidRDefault="008E0B7F" w:rsidP="000A313A">
      <w:pPr>
        <w:pStyle w:val="ListParagraph"/>
        <w:numPr>
          <w:ilvl w:val="0"/>
          <w:numId w:val="55"/>
        </w:numPr>
        <w:spacing w:after="120"/>
        <w:rPr>
          <w:sz w:val="22"/>
          <w:szCs w:val="22"/>
        </w:rPr>
      </w:pPr>
      <w:r w:rsidRPr="00AF3975">
        <w:rPr>
          <w:sz w:val="22"/>
          <w:szCs w:val="22"/>
        </w:rPr>
        <w:t xml:space="preserve">Carefully cover </w:t>
      </w:r>
      <w:r w:rsidR="002A2262" w:rsidRPr="00AF3975">
        <w:rPr>
          <w:sz w:val="22"/>
          <w:szCs w:val="22"/>
        </w:rPr>
        <w:t>the spilled</w:t>
      </w:r>
      <w:r w:rsidRPr="00AF3975">
        <w:rPr>
          <w:sz w:val="22"/>
          <w:szCs w:val="22"/>
        </w:rPr>
        <w:t xml:space="preserve"> material with a paper towel. After the paper towel is in place, wet with an appropriate disinfectant. </w:t>
      </w:r>
    </w:p>
    <w:p w14:paraId="53F67B17" w14:textId="36F65C24" w:rsidR="00AF3975" w:rsidRPr="00AF3975" w:rsidRDefault="008E0B7F" w:rsidP="000A313A">
      <w:pPr>
        <w:pStyle w:val="ListParagraph"/>
        <w:numPr>
          <w:ilvl w:val="0"/>
          <w:numId w:val="55"/>
        </w:numPr>
        <w:spacing w:after="120"/>
        <w:rPr>
          <w:sz w:val="22"/>
          <w:szCs w:val="22"/>
        </w:rPr>
      </w:pPr>
      <w:r w:rsidRPr="00AF3975">
        <w:rPr>
          <w:sz w:val="22"/>
          <w:szCs w:val="22"/>
        </w:rPr>
        <w:t xml:space="preserve">Allow 15-20 minutes of contact time. </w:t>
      </w:r>
    </w:p>
    <w:p w14:paraId="087D5DBB" w14:textId="15EF1CE0" w:rsidR="00AF3975" w:rsidRPr="00AF3975" w:rsidRDefault="008E0B7F" w:rsidP="000A313A">
      <w:pPr>
        <w:pStyle w:val="ListParagraph"/>
        <w:numPr>
          <w:ilvl w:val="0"/>
          <w:numId w:val="55"/>
        </w:numPr>
        <w:spacing w:after="120"/>
        <w:rPr>
          <w:sz w:val="22"/>
          <w:szCs w:val="22"/>
        </w:rPr>
      </w:pPr>
      <w:r w:rsidRPr="00AF3975">
        <w:rPr>
          <w:sz w:val="22"/>
          <w:szCs w:val="22"/>
        </w:rPr>
        <w:t>Transfer all contaminated materials (paper towels, gloves, labware, etc.) into biohazard waste containers for disposal.</w:t>
      </w:r>
    </w:p>
    <w:p w14:paraId="0EE5DEFC" w14:textId="09F57B6E" w:rsidR="00AF3975" w:rsidRPr="00AF3975" w:rsidRDefault="008E0B7F" w:rsidP="000A313A">
      <w:pPr>
        <w:pStyle w:val="ListParagraph"/>
        <w:numPr>
          <w:ilvl w:val="0"/>
          <w:numId w:val="55"/>
        </w:numPr>
        <w:spacing w:after="120"/>
        <w:rPr>
          <w:sz w:val="22"/>
          <w:szCs w:val="22"/>
        </w:rPr>
      </w:pPr>
      <w:r w:rsidRPr="00AF3975">
        <w:rPr>
          <w:sz w:val="22"/>
          <w:szCs w:val="22"/>
        </w:rPr>
        <w:t xml:space="preserve">Wipe surrounding surfaces with </w:t>
      </w:r>
      <w:r w:rsidR="002A2262">
        <w:rPr>
          <w:sz w:val="22"/>
          <w:szCs w:val="22"/>
        </w:rPr>
        <w:t xml:space="preserve">enough </w:t>
      </w:r>
      <w:r w:rsidRPr="00AF3975">
        <w:rPr>
          <w:sz w:val="22"/>
          <w:szCs w:val="22"/>
        </w:rPr>
        <w:t xml:space="preserve">disinfectant to cover all splash areas. </w:t>
      </w:r>
    </w:p>
    <w:p w14:paraId="043A57AC" w14:textId="5F9050F1" w:rsidR="00AF3975" w:rsidRPr="00AF3975" w:rsidRDefault="008E0B7F" w:rsidP="000A313A">
      <w:pPr>
        <w:pStyle w:val="ListParagraph"/>
        <w:numPr>
          <w:ilvl w:val="0"/>
          <w:numId w:val="55"/>
        </w:numPr>
        <w:spacing w:after="120"/>
        <w:rPr>
          <w:sz w:val="22"/>
          <w:szCs w:val="22"/>
        </w:rPr>
      </w:pPr>
      <w:r w:rsidRPr="00AF3975">
        <w:rPr>
          <w:sz w:val="22"/>
          <w:szCs w:val="22"/>
        </w:rPr>
        <w:t xml:space="preserve">Place all remaining contaminated materials, including protective clothing, into an autoclave bag or biohazard waste container. </w:t>
      </w:r>
    </w:p>
    <w:p w14:paraId="4CB47140" w14:textId="6E550730" w:rsidR="00AF3975" w:rsidRPr="00AF3975" w:rsidRDefault="008E0B7F" w:rsidP="000A313A">
      <w:pPr>
        <w:pStyle w:val="ListParagraph"/>
        <w:numPr>
          <w:ilvl w:val="0"/>
          <w:numId w:val="55"/>
        </w:numPr>
        <w:spacing w:after="120"/>
        <w:rPr>
          <w:sz w:val="22"/>
          <w:szCs w:val="22"/>
        </w:rPr>
      </w:pPr>
      <w:r w:rsidRPr="00AF3975">
        <w:rPr>
          <w:sz w:val="22"/>
          <w:szCs w:val="22"/>
        </w:rPr>
        <w:t xml:space="preserve">Wash hands with soap and water. </w:t>
      </w:r>
    </w:p>
    <w:p w14:paraId="27E2B29D" w14:textId="27474FF0" w:rsidR="00AF3975" w:rsidRPr="00AF3975" w:rsidRDefault="008E0B7F" w:rsidP="000A313A">
      <w:pPr>
        <w:pStyle w:val="ListParagraph"/>
        <w:numPr>
          <w:ilvl w:val="0"/>
          <w:numId w:val="55"/>
        </w:numPr>
        <w:spacing w:after="120"/>
        <w:rPr>
          <w:sz w:val="22"/>
          <w:szCs w:val="22"/>
        </w:rPr>
      </w:pPr>
      <w:r w:rsidRPr="00AF3975">
        <w:rPr>
          <w:sz w:val="22"/>
          <w:szCs w:val="22"/>
        </w:rPr>
        <w:t>Complete the Incident Report form.</w:t>
      </w:r>
    </w:p>
    <w:p w14:paraId="4B410E23" w14:textId="77777777" w:rsidR="00AF3975" w:rsidRPr="00AF3975" w:rsidRDefault="008E0B7F" w:rsidP="0014205E">
      <w:pPr>
        <w:spacing w:after="120"/>
        <w:rPr>
          <w:b/>
          <w:bCs/>
          <w:u w:val="single"/>
        </w:rPr>
      </w:pPr>
      <w:bookmarkStart w:id="56" w:name="SpillinBSC"/>
      <w:r w:rsidRPr="00AF3975">
        <w:rPr>
          <w:b/>
          <w:bCs/>
          <w:u w:val="single"/>
        </w:rPr>
        <w:t xml:space="preserve">Spill in the Biosafety Cabinet </w:t>
      </w:r>
    </w:p>
    <w:bookmarkEnd w:id="56"/>
    <w:p w14:paraId="77E44F86" w14:textId="77777777" w:rsidR="00AF3975" w:rsidRDefault="008E0B7F" w:rsidP="0014205E">
      <w:pPr>
        <w:spacing w:after="120"/>
        <w:rPr>
          <w:sz w:val="22"/>
          <w:szCs w:val="22"/>
        </w:rPr>
      </w:pPr>
      <w:r w:rsidRPr="00AF3975">
        <w:rPr>
          <w:b/>
          <w:bCs/>
          <w:sz w:val="22"/>
          <w:szCs w:val="22"/>
        </w:rPr>
        <w:t>NOTE:</w:t>
      </w:r>
      <w:r w:rsidRPr="0014205E">
        <w:rPr>
          <w:sz w:val="22"/>
          <w:szCs w:val="22"/>
        </w:rPr>
        <w:t xml:space="preserve"> Leave the cabinet turned on. </w:t>
      </w:r>
    </w:p>
    <w:p w14:paraId="725410C9" w14:textId="766EBC80" w:rsidR="00AF3975" w:rsidRPr="00AF3975" w:rsidRDefault="008E0B7F" w:rsidP="000A313A">
      <w:pPr>
        <w:pStyle w:val="ListParagraph"/>
        <w:numPr>
          <w:ilvl w:val="0"/>
          <w:numId w:val="56"/>
        </w:numPr>
        <w:spacing w:after="120"/>
        <w:rPr>
          <w:sz w:val="22"/>
          <w:szCs w:val="22"/>
        </w:rPr>
      </w:pPr>
      <w:r w:rsidRPr="00AF3975">
        <w:rPr>
          <w:sz w:val="22"/>
          <w:szCs w:val="22"/>
        </w:rPr>
        <w:t xml:space="preserve">Don double gloves, a lab coat, and eye protection. </w:t>
      </w:r>
    </w:p>
    <w:p w14:paraId="1FC36227" w14:textId="34680290" w:rsidR="00AF3975" w:rsidRPr="00AF3975" w:rsidRDefault="008E0B7F" w:rsidP="000A313A">
      <w:pPr>
        <w:pStyle w:val="ListParagraph"/>
        <w:numPr>
          <w:ilvl w:val="0"/>
          <w:numId w:val="56"/>
        </w:numPr>
        <w:spacing w:after="120"/>
        <w:rPr>
          <w:sz w:val="22"/>
          <w:szCs w:val="22"/>
        </w:rPr>
      </w:pPr>
      <w:r w:rsidRPr="00AF3975">
        <w:rPr>
          <w:sz w:val="22"/>
          <w:szCs w:val="22"/>
        </w:rPr>
        <w:t xml:space="preserve">Carefully cover </w:t>
      </w:r>
      <w:r w:rsidR="002A2262" w:rsidRPr="00AF3975">
        <w:rPr>
          <w:sz w:val="22"/>
          <w:szCs w:val="22"/>
        </w:rPr>
        <w:t>the spilled</w:t>
      </w:r>
      <w:r w:rsidRPr="00AF3975">
        <w:rPr>
          <w:sz w:val="22"/>
          <w:szCs w:val="22"/>
        </w:rPr>
        <w:t xml:space="preserve"> material with a paper towel. After the paper towel is in place, wet with an appropriate disinfectant. Let </w:t>
      </w:r>
      <w:r w:rsidR="008C3607" w:rsidRPr="00AF3975">
        <w:rPr>
          <w:sz w:val="22"/>
          <w:szCs w:val="22"/>
        </w:rPr>
        <w:t>stand for</w:t>
      </w:r>
      <w:r w:rsidRPr="00AF3975">
        <w:rPr>
          <w:sz w:val="22"/>
          <w:szCs w:val="22"/>
        </w:rPr>
        <w:t xml:space="preserve"> 15-20 minutes, wipe up and wash surface with</w:t>
      </w:r>
      <w:r w:rsidR="008C3607">
        <w:rPr>
          <w:sz w:val="22"/>
          <w:szCs w:val="22"/>
        </w:rPr>
        <w:t xml:space="preserve"> an</w:t>
      </w:r>
      <w:r w:rsidRPr="00AF3975">
        <w:rPr>
          <w:sz w:val="22"/>
          <w:szCs w:val="22"/>
        </w:rPr>
        <w:t xml:space="preserve"> appropriate disinfectant. </w:t>
      </w:r>
    </w:p>
    <w:p w14:paraId="00E10A20" w14:textId="5994C4EF" w:rsidR="00AF3975" w:rsidRPr="00AF3975" w:rsidRDefault="008E0B7F" w:rsidP="000A313A">
      <w:pPr>
        <w:pStyle w:val="ListParagraph"/>
        <w:numPr>
          <w:ilvl w:val="0"/>
          <w:numId w:val="56"/>
        </w:numPr>
        <w:spacing w:after="120"/>
        <w:rPr>
          <w:sz w:val="22"/>
          <w:szCs w:val="22"/>
        </w:rPr>
      </w:pPr>
      <w:r w:rsidRPr="00AF3975">
        <w:rPr>
          <w:sz w:val="22"/>
          <w:szCs w:val="22"/>
        </w:rPr>
        <w:t xml:space="preserve">Spray or wipe cabinet walls, other work surfaces, and equipment with the appropriate </w:t>
      </w:r>
      <w:r w:rsidR="00353560" w:rsidRPr="00AF3975">
        <w:rPr>
          <w:sz w:val="22"/>
          <w:szCs w:val="22"/>
        </w:rPr>
        <w:t>disinfectant.</w:t>
      </w:r>
      <w:r w:rsidRPr="00AF3975">
        <w:rPr>
          <w:sz w:val="22"/>
          <w:szCs w:val="22"/>
        </w:rPr>
        <w:t xml:space="preserve"> </w:t>
      </w:r>
    </w:p>
    <w:p w14:paraId="5233ACD2" w14:textId="008AAC27" w:rsidR="00AF3975" w:rsidRPr="00AF3975" w:rsidRDefault="008E0B7F" w:rsidP="000A313A">
      <w:pPr>
        <w:pStyle w:val="ListParagraph"/>
        <w:numPr>
          <w:ilvl w:val="0"/>
          <w:numId w:val="56"/>
        </w:numPr>
        <w:spacing w:after="120"/>
        <w:rPr>
          <w:sz w:val="22"/>
          <w:szCs w:val="22"/>
        </w:rPr>
      </w:pPr>
      <w:r w:rsidRPr="00AF3975">
        <w:rPr>
          <w:sz w:val="22"/>
          <w:szCs w:val="22"/>
        </w:rPr>
        <w:t xml:space="preserve">If necessary, flood the work surface, drain pan, and catch basin below the work surface with </w:t>
      </w:r>
      <w:r w:rsidR="008C3607">
        <w:rPr>
          <w:sz w:val="22"/>
          <w:szCs w:val="22"/>
        </w:rPr>
        <w:t xml:space="preserve">a </w:t>
      </w:r>
      <w:r w:rsidRPr="00AF3975">
        <w:rPr>
          <w:sz w:val="22"/>
          <w:szCs w:val="22"/>
        </w:rPr>
        <w:t xml:space="preserve">disinfectant. Allow at least 15-20 minutes of contact time. </w:t>
      </w:r>
    </w:p>
    <w:p w14:paraId="11C62699" w14:textId="2080FFC8" w:rsidR="00AF3975" w:rsidRPr="00AF3975" w:rsidRDefault="008E0B7F" w:rsidP="000A313A">
      <w:pPr>
        <w:pStyle w:val="ListParagraph"/>
        <w:numPr>
          <w:ilvl w:val="0"/>
          <w:numId w:val="56"/>
        </w:numPr>
        <w:spacing w:after="120"/>
        <w:rPr>
          <w:sz w:val="22"/>
          <w:szCs w:val="22"/>
        </w:rPr>
      </w:pPr>
      <w:r w:rsidRPr="00AF3975">
        <w:rPr>
          <w:sz w:val="22"/>
          <w:szCs w:val="22"/>
        </w:rPr>
        <w:t>Soak up the disinfectant and drain the catch basin into a container. Lift the front exhaust grill and tray wip</w:t>
      </w:r>
      <w:r w:rsidR="00AF3975">
        <w:rPr>
          <w:sz w:val="22"/>
          <w:szCs w:val="22"/>
        </w:rPr>
        <w:t>ing</w:t>
      </w:r>
      <w:r w:rsidRPr="00AF3975">
        <w:rPr>
          <w:sz w:val="22"/>
          <w:szCs w:val="22"/>
        </w:rPr>
        <w:t xml:space="preserve"> all surfaces. Ensure that no foreign materials are blown into the area below the grill. </w:t>
      </w:r>
    </w:p>
    <w:p w14:paraId="57FBB5F8" w14:textId="34214BCD" w:rsidR="00AF3975" w:rsidRPr="00AF3975" w:rsidRDefault="008E0B7F" w:rsidP="000A313A">
      <w:pPr>
        <w:pStyle w:val="ListParagraph"/>
        <w:numPr>
          <w:ilvl w:val="0"/>
          <w:numId w:val="56"/>
        </w:numPr>
        <w:spacing w:after="120"/>
        <w:rPr>
          <w:sz w:val="22"/>
          <w:szCs w:val="22"/>
        </w:rPr>
      </w:pPr>
      <w:r w:rsidRPr="00AF3975">
        <w:rPr>
          <w:sz w:val="22"/>
          <w:szCs w:val="22"/>
        </w:rPr>
        <w:t xml:space="preserve">If a 10% bleach solution is used on metal surfaces, rinse with water or 70% ethanol after decontamination is complete. </w:t>
      </w:r>
    </w:p>
    <w:p w14:paraId="04986E69" w14:textId="1AED6F9D" w:rsidR="008E0B7F" w:rsidRDefault="008E0B7F" w:rsidP="000A313A">
      <w:pPr>
        <w:pStyle w:val="ListParagraph"/>
        <w:numPr>
          <w:ilvl w:val="0"/>
          <w:numId w:val="56"/>
        </w:numPr>
        <w:spacing w:after="120"/>
        <w:rPr>
          <w:sz w:val="22"/>
          <w:szCs w:val="22"/>
        </w:rPr>
      </w:pPr>
      <w:r w:rsidRPr="00AF3975">
        <w:rPr>
          <w:sz w:val="22"/>
          <w:szCs w:val="22"/>
        </w:rPr>
        <w:t xml:space="preserve">If the spill overflows into the interior of the cabinet, more extensive decontamination of the cabinet may be necessary. Contact </w:t>
      </w:r>
      <w:r w:rsidR="00AF3975">
        <w:rPr>
          <w:sz w:val="22"/>
          <w:szCs w:val="22"/>
        </w:rPr>
        <w:t>Office of Safety</w:t>
      </w:r>
      <w:r w:rsidRPr="00AF3975">
        <w:rPr>
          <w:sz w:val="22"/>
          <w:szCs w:val="22"/>
        </w:rPr>
        <w:t xml:space="preserve"> for decontamination of the cabinet. </w:t>
      </w:r>
    </w:p>
    <w:p w14:paraId="65A6219C" w14:textId="77777777" w:rsidR="008E0B7F" w:rsidRPr="00FC69F1" w:rsidRDefault="008E0B7F" w:rsidP="0014205E">
      <w:pPr>
        <w:spacing w:after="120"/>
        <w:rPr>
          <w:b/>
          <w:bCs/>
          <w:u w:val="single"/>
        </w:rPr>
      </w:pPr>
      <w:bookmarkStart w:id="57" w:name="PersonnelExposure"/>
      <w:r w:rsidRPr="00FC69F1">
        <w:rPr>
          <w:b/>
          <w:bCs/>
          <w:u w:val="single"/>
        </w:rPr>
        <w:lastRenderedPageBreak/>
        <w:t xml:space="preserve">Personnel Exposure </w:t>
      </w:r>
    </w:p>
    <w:bookmarkEnd w:id="57"/>
    <w:p w14:paraId="672938F2" w14:textId="0788D73E" w:rsidR="002A2262" w:rsidRDefault="008E0B7F" w:rsidP="000A313A">
      <w:pPr>
        <w:pStyle w:val="ListParagraph"/>
        <w:numPr>
          <w:ilvl w:val="0"/>
          <w:numId w:val="18"/>
        </w:numPr>
        <w:spacing w:after="120"/>
        <w:rPr>
          <w:sz w:val="22"/>
          <w:szCs w:val="22"/>
        </w:rPr>
      </w:pPr>
      <w:r w:rsidRPr="0014205E">
        <w:rPr>
          <w:sz w:val="22"/>
          <w:szCs w:val="22"/>
        </w:rPr>
        <w:t xml:space="preserve">If clothing or PPE are contaminated, remove potentially contaminated garments immediately and decontaminate garments by saturation with 70% ethanol or </w:t>
      </w:r>
      <w:r w:rsidR="008C3607" w:rsidRPr="0014205E">
        <w:rPr>
          <w:sz w:val="22"/>
          <w:szCs w:val="22"/>
        </w:rPr>
        <w:t>place them</w:t>
      </w:r>
      <w:r w:rsidRPr="0014205E">
        <w:rPr>
          <w:sz w:val="22"/>
          <w:szCs w:val="22"/>
        </w:rPr>
        <w:t xml:space="preserve"> in autoclave bag for autoclaving. </w:t>
      </w:r>
    </w:p>
    <w:p w14:paraId="7F48B926" w14:textId="28BF6462" w:rsidR="002A2262" w:rsidRDefault="008E0B7F" w:rsidP="000A313A">
      <w:pPr>
        <w:pStyle w:val="ListParagraph"/>
        <w:numPr>
          <w:ilvl w:val="1"/>
          <w:numId w:val="18"/>
        </w:numPr>
        <w:spacing w:after="120"/>
        <w:rPr>
          <w:sz w:val="22"/>
          <w:szCs w:val="22"/>
        </w:rPr>
      </w:pPr>
      <w:r w:rsidRPr="0014205E">
        <w:rPr>
          <w:sz w:val="22"/>
          <w:szCs w:val="22"/>
        </w:rPr>
        <w:t xml:space="preserve">Wash hands and other potentially exposed skin surfaces thoroughly with soap and water. </w:t>
      </w:r>
    </w:p>
    <w:p w14:paraId="5D627B60" w14:textId="3EB63953" w:rsidR="002A2262" w:rsidRDefault="008E0B7F" w:rsidP="000A313A">
      <w:pPr>
        <w:pStyle w:val="ListParagraph"/>
        <w:numPr>
          <w:ilvl w:val="1"/>
          <w:numId w:val="18"/>
        </w:numPr>
        <w:spacing w:after="120"/>
        <w:rPr>
          <w:sz w:val="22"/>
          <w:szCs w:val="22"/>
        </w:rPr>
      </w:pPr>
      <w:r w:rsidRPr="0014205E">
        <w:rPr>
          <w:sz w:val="22"/>
          <w:szCs w:val="22"/>
        </w:rPr>
        <w:t>If clothing or shoes are contaminated, carefully remove and place</w:t>
      </w:r>
      <w:r w:rsidR="008C3607">
        <w:rPr>
          <w:sz w:val="22"/>
          <w:szCs w:val="22"/>
        </w:rPr>
        <w:t xml:space="preserve"> them</w:t>
      </w:r>
      <w:r w:rsidRPr="0014205E">
        <w:rPr>
          <w:sz w:val="22"/>
          <w:szCs w:val="22"/>
        </w:rPr>
        <w:t xml:space="preserve"> in an autoclave bag or another container. Contaminated items can be decontaminated by treatment with </w:t>
      </w:r>
      <w:r w:rsidR="00D74FE9">
        <w:rPr>
          <w:sz w:val="22"/>
          <w:szCs w:val="22"/>
        </w:rPr>
        <w:t xml:space="preserve">an </w:t>
      </w:r>
      <w:r w:rsidRPr="0014205E">
        <w:rPr>
          <w:sz w:val="22"/>
          <w:szCs w:val="22"/>
        </w:rPr>
        <w:t xml:space="preserve">appropriate disinfectant such as 10% Bleach or Lysol. Contaminated items may also be autoclaved or collected for disposal. Do not take contaminated items home. </w:t>
      </w:r>
    </w:p>
    <w:p w14:paraId="4AA0C274" w14:textId="3243619E" w:rsidR="002A2262" w:rsidRDefault="008E0B7F" w:rsidP="000A313A">
      <w:pPr>
        <w:pStyle w:val="ListParagraph"/>
        <w:numPr>
          <w:ilvl w:val="0"/>
          <w:numId w:val="18"/>
        </w:numPr>
        <w:spacing w:after="120"/>
        <w:rPr>
          <w:sz w:val="22"/>
          <w:szCs w:val="22"/>
        </w:rPr>
      </w:pPr>
      <w:r w:rsidRPr="0014205E">
        <w:rPr>
          <w:sz w:val="22"/>
          <w:szCs w:val="22"/>
        </w:rPr>
        <w:t xml:space="preserve">If there is an agent-specific protocol for exposures, follow that (e.g., HIV, Herpes B). </w:t>
      </w:r>
    </w:p>
    <w:p w14:paraId="79A3F5DC" w14:textId="6AA81033" w:rsidR="002A2262" w:rsidRDefault="008E0B7F" w:rsidP="000A313A">
      <w:pPr>
        <w:pStyle w:val="ListParagraph"/>
        <w:numPr>
          <w:ilvl w:val="0"/>
          <w:numId w:val="18"/>
        </w:numPr>
        <w:spacing w:after="120"/>
        <w:rPr>
          <w:sz w:val="22"/>
          <w:szCs w:val="22"/>
        </w:rPr>
      </w:pPr>
      <w:r w:rsidRPr="0014205E">
        <w:rPr>
          <w:sz w:val="22"/>
          <w:szCs w:val="22"/>
        </w:rPr>
        <w:t xml:space="preserve">In case of needlestick or sharps injury: </w:t>
      </w:r>
    </w:p>
    <w:p w14:paraId="22B8DA69" w14:textId="651E2469" w:rsidR="002A2262" w:rsidRDefault="008E0B7F" w:rsidP="000A313A">
      <w:pPr>
        <w:pStyle w:val="ListParagraph"/>
        <w:numPr>
          <w:ilvl w:val="1"/>
          <w:numId w:val="18"/>
        </w:numPr>
        <w:spacing w:after="120"/>
        <w:rPr>
          <w:sz w:val="22"/>
          <w:szCs w:val="22"/>
        </w:rPr>
      </w:pPr>
      <w:r w:rsidRPr="0014205E">
        <w:rPr>
          <w:sz w:val="22"/>
          <w:szCs w:val="22"/>
        </w:rPr>
        <w:t xml:space="preserve">Expose </w:t>
      </w:r>
      <w:r w:rsidR="00D74FE9">
        <w:rPr>
          <w:sz w:val="22"/>
          <w:szCs w:val="22"/>
        </w:rPr>
        <w:t xml:space="preserve">the </w:t>
      </w:r>
      <w:r w:rsidRPr="0014205E">
        <w:rPr>
          <w:sz w:val="22"/>
          <w:szCs w:val="22"/>
        </w:rPr>
        <w:t xml:space="preserve">wound and wash with soap and water. </w:t>
      </w:r>
    </w:p>
    <w:p w14:paraId="122A1E5B" w14:textId="69526C61" w:rsidR="002A2262" w:rsidRDefault="008E0B7F" w:rsidP="000A313A">
      <w:pPr>
        <w:pStyle w:val="ListParagraph"/>
        <w:numPr>
          <w:ilvl w:val="1"/>
          <w:numId w:val="18"/>
        </w:numPr>
        <w:spacing w:after="120"/>
        <w:rPr>
          <w:sz w:val="22"/>
          <w:szCs w:val="22"/>
        </w:rPr>
      </w:pPr>
      <w:r w:rsidRPr="0014205E">
        <w:rPr>
          <w:sz w:val="22"/>
          <w:szCs w:val="22"/>
        </w:rPr>
        <w:t xml:space="preserve">Do not squeeze the wound to induce bleeding. </w:t>
      </w:r>
    </w:p>
    <w:p w14:paraId="19C80448" w14:textId="40A2F3CC" w:rsidR="002A2262" w:rsidRDefault="008E0B7F" w:rsidP="000A313A">
      <w:pPr>
        <w:pStyle w:val="ListParagraph"/>
        <w:numPr>
          <w:ilvl w:val="0"/>
          <w:numId w:val="18"/>
        </w:numPr>
        <w:spacing w:after="120"/>
        <w:rPr>
          <w:sz w:val="22"/>
          <w:szCs w:val="22"/>
        </w:rPr>
      </w:pPr>
      <w:r w:rsidRPr="0014205E">
        <w:rPr>
          <w:sz w:val="22"/>
          <w:szCs w:val="22"/>
        </w:rPr>
        <w:t xml:space="preserve">In the case of skin contact or mucous membrane exposure: </w:t>
      </w:r>
    </w:p>
    <w:p w14:paraId="545D23F8" w14:textId="21D2CBEF" w:rsidR="002A2262" w:rsidRDefault="008E0B7F" w:rsidP="000A313A">
      <w:pPr>
        <w:pStyle w:val="ListParagraph"/>
        <w:numPr>
          <w:ilvl w:val="1"/>
          <w:numId w:val="18"/>
        </w:numPr>
        <w:spacing w:after="120"/>
        <w:rPr>
          <w:sz w:val="22"/>
          <w:szCs w:val="22"/>
        </w:rPr>
      </w:pPr>
      <w:r w:rsidRPr="0014205E">
        <w:rPr>
          <w:sz w:val="22"/>
          <w:szCs w:val="22"/>
        </w:rPr>
        <w:t>Skin</w:t>
      </w:r>
    </w:p>
    <w:p w14:paraId="2FF3DA63" w14:textId="18A48F33" w:rsidR="002A2262" w:rsidRDefault="008E0B7F" w:rsidP="000A313A">
      <w:pPr>
        <w:pStyle w:val="ListParagraph"/>
        <w:numPr>
          <w:ilvl w:val="2"/>
          <w:numId w:val="18"/>
        </w:numPr>
        <w:spacing w:after="120"/>
        <w:rPr>
          <w:sz w:val="22"/>
          <w:szCs w:val="22"/>
        </w:rPr>
      </w:pPr>
      <w:r w:rsidRPr="0014205E">
        <w:rPr>
          <w:sz w:val="22"/>
          <w:szCs w:val="22"/>
        </w:rPr>
        <w:t xml:space="preserve">Thoroughly wash </w:t>
      </w:r>
      <w:r w:rsidR="00D74FE9" w:rsidRPr="0014205E">
        <w:rPr>
          <w:sz w:val="22"/>
          <w:szCs w:val="22"/>
        </w:rPr>
        <w:t>the area</w:t>
      </w:r>
      <w:r w:rsidRPr="0014205E">
        <w:rPr>
          <w:sz w:val="22"/>
          <w:szCs w:val="22"/>
        </w:rPr>
        <w:t xml:space="preserve"> with soap and water. </w:t>
      </w:r>
    </w:p>
    <w:p w14:paraId="5FF942EB" w14:textId="2A307B91" w:rsidR="002A2262" w:rsidRDefault="008E0B7F" w:rsidP="000A313A">
      <w:pPr>
        <w:pStyle w:val="ListParagraph"/>
        <w:numPr>
          <w:ilvl w:val="2"/>
          <w:numId w:val="18"/>
        </w:numPr>
        <w:spacing w:after="120"/>
        <w:rPr>
          <w:sz w:val="22"/>
          <w:szCs w:val="22"/>
        </w:rPr>
      </w:pPr>
      <w:r w:rsidRPr="0014205E">
        <w:rPr>
          <w:sz w:val="22"/>
          <w:szCs w:val="22"/>
        </w:rPr>
        <w:t xml:space="preserve">Avoid use of abrasive chemical soaps or disinfectant washes as they can cause skin abrasions and a possible additional route of entry for the agent. </w:t>
      </w:r>
    </w:p>
    <w:p w14:paraId="3E8830E2" w14:textId="00B65416" w:rsidR="002A2262" w:rsidRDefault="008E0B7F" w:rsidP="000A313A">
      <w:pPr>
        <w:pStyle w:val="ListParagraph"/>
        <w:numPr>
          <w:ilvl w:val="1"/>
          <w:numId w:val="18"/>
        </w:numPr>
        <w:spacing w:after="120"/>
        <w:rPr>
          <w:sz w:val="22"/>
          <w:szCs w:val="22"/>
        </w:rPr>
      </w:pPr>
      <w:r w:rsidRPr="0014205E">
        <w:rPr>
          <w:sz w:val="22"/>
          <w:szCs w:val="22"/>
        </w:rPr>
        <w:t xml:space="preserve">For mucous membranes (nose, </w:t>
      </w:r>
      <w:r w:rsidR="00B267E9" w:rsidRPr="0014205E">
        <w:rPr>
          <w:sz w:val="22"/>
          <w:szCs w:val="22"/>
        </w:rPr>
        <w:t>mouth,</w:t>
      </w:r>
      <w:r w:rsidRPr="0014205E">
        <w:rPr>
          <w:sz w:val="22"/>
          <w:szCs w:val="22"/>
        </w:rPr>
        <w:t xml:space="preserve"> or skin), flush for a minimum of 15 minutes with water. </w:t>
      </w:r>
    </w:p>
    <w:p w14:paraId="5C16383A" w14:textId="7DD4D6A7" w:rsidR="002A2262" w:rsidRDefault="008E0B7F" w:rsidP="000A313A">
      <w:pPr>
        <w:pStyle w:val="ListParagraph"/>
        <w:numPr>
          <w:ilvl w:val="1"/>
          <w:numId w:val="18"/>
        </w:numPr>
        <w:spacing w:after="120"/>
        <w:rPr>
          <w:sz w:val="22"/>
          <w:szCs w:val="22"/>
        </w:rPr>
      </w:pPr>
      <w:r w:rsidRPr="0014205E">
        <w:rPr>
          <w:sz w:val="22"/>
          <w:szCs w:val="22"/>
        </w:rPr>
        <w:t xml:space="preserve">For eyes, irrigate with water or saline solution for 15 minutes. </w:t>
      </w:r>
    </w:p>
    <w:p w14:paraId="20C49C45" w14:textId="5BEAE86F" w:rsidR="002A2262" w:rsidRDefault="008E0B7F" w:rsidP="000A313A">
      <w:pPr>
        <w:pStyle w:val="ListParagraph"/>
        <w:numPr>
          <w:ilvl w:val="0"/>
          <w:numId w:val="18"/>
        </w:numPr>
        <w:spacing w:after="120"/>
        <w:rPr>
          <w:sz w:val="22"/>
          <w:szCs w:val="22"/>
        </w:rPr>
      </w:pPr>
      <w:r w:rsidRPr="0014205E">
        <w:rPr>
          <w:sz w:val="22"/>
          <w:szCs w:val="22"/>
        </w:rPr>
        <w:t>Seek treatment at appropriate treatment facility (</w:t>
      </w:r>
      <w:r w:rsidR="00D74FE9">
        <w:rPr>
          <w:sz w:val="22"/>
          <w:szCs w:val="22"/>
        </w:rPr>
        <w:t>Altru Occupational Health, Altru</w:t>
      </w:r>
      <w:r w:rsidRPr="0014205E">
        <w:rPr>
          <w:sz w:val="22"/>
          <w:szCs w:val="22"/>
        </w:rPr>
        <w:t xml:space="preserve"> Emergency Department) for post exposure evaluation following: </w:t>
      </w:r>
    </w:p>
    <w:p w14:paraId="231F48D3" w14:textId="30FD2BA0" w:rsidR="002A2262" w:rsidRDefault="008E0B7F" w:rsidP="000A313A">
      <w:pPr>
        <w:pStyle w:val="ListParagraph"/>
        <w:numPr>
          <w:ilvl w:val="1"/>
          <w:numId w:val="18"/>
        </w:numPr>
        <w:spacing w:after="120"/>
        <w:rPr>
          <w:sz w:val="22"/>
          <w:szCs w:val="22"/>
        </w:rPr>
      </w:pPr>
      <w:r w:rsidRPr="0014205E">
        <w:rPr>
          <w:sz w:val="22"/>
          <w:szCs w:val="22"/>
        </w:rPr>
        <w:t xml:space="preserve">Contact with mucous </w:t>
      </w:r>
      <w:r w:rsidR="00353560" w:rsidRPr="0014205E">
        <w:rPr>
          <w:sz w:val="22"/>
          <w:szCs w:val="22"/>
        </w:rPr>
        <w:t>membranes.</w:t>
      </w:r>
      <w:r w:rsidRPr="0014205E">
        <w:rPr>
          <w:sz w:val="22"/>
          <w:szCs w:val="22"/>
        </w:rPr>
        <w:t xml:space="preserve"> </w:t>
      </w:r>
    </w:p>
    <w:p w14:paraId="76FA1D03" w14:textId="282FED13" w:rsidR="002A2262" w:rsidRDefault="008E0B7F" w:rsidP="000A313A">
      <w:pPr>
        <w:pStyle w:val="ListParagraph"/>
        <w:numPr>
          <w:ilvl w:val="1"/>
          <w:numId w:val="18"/>
        </w:numPr>
        <w:spacing w:after="120"/>
        <w:rPr>
          <w:sz w:val="22"/>
          <w:szCs w:val="22"/>
        </w:rPr>
      </w:pPr>
      <w:r w:rsidRPr="0014205E">
        <w:rPr>
          <w:sz w:val="22"/>
          <w:szCs w:val="22"/>
        </w:rPr>
        <w:t xml:space="preserve">Contact with non-intact </w:t>
      </w:r>
      <w:r w:rsidR="00353560" w:rsidRPr="0014205E">
        <w:rPr>
          <w:sz w:val="22"/>
          <w:szCs w:val="22"/>
        </w:rPr>
        <w:t>skin.</w:t>
      </w:r>
      <w:r w:rsidRPr="0014205E">
        <w:rPr>
          <w:sz w:val="22"/>
          <w:szCs w:val="22"/>
        </w:rPr>
        <w:t xml:space="preserve"> </w:t>
      </w:r>
    </w:p>
    <w:p w14:paraId="0077349E" w14:textId="3E4D9221" w:rsidR="00D74FE9" w:rsidRDefault="008E0B7F" w:rsidP="000A313A">
      <w:pPr>
        <w:pStyle w:val="ListParagraph"/>
        <w:numPr>
          <w:ilvl w:val="1"/>
          <w:numId w:val="18"/>
        </w:numPr>
        <w:spacing w:after="120"/>
        <w:rPr>
          <w:sz w:val="22"/>
          <w:szCs w:val="22"/>
        </w:rPr>
      </w:pPr>
      <w:r w:rsidRPr="0014205E">
        <w:rPr>
          <w:sz w:val="22"/>
          <w:szCs w:val="22"/>
        </w:rPr>
        <w:t xml:space="preserve">Percutaneous exposure </w:t>
      </w:r>
    </w:p>
    <w:p w14:paraId="0695EE97" w14:textId="10489469" w:rsidR="00D74FE9" w:rsidRDefault="008E0B7F" w:rsidP="000A313A">
      <w:pPr>
        <w:pStyle w:val="ListParagraph"/>
        <w:numPr>
          <w:ilvl w:val="1"/>
          <w:numId w:val="18"/>
        </w:numPr>
        <w:spacing w:after="120"/>
        <w:rPr>
          <w:sz w:val="22"/>
          <w:szCs w:val="22"/>
        </w:rPr>
      </w:pPr>
      <w:r w:rsidRPr="0014205E">
        <w:rPr>
          <w:sz w:val="22"/>
          <w:szCs w:val="22"/>
        </w:rPr>
        <w:t xml:space="preserve">Any type of exposure that involves biohazardous </w:t>
      </w:r>
      <w:r w:rsidR="00353560" w:rsidRPr="0014205E">
        <w:rPr>
          <w:sz w:val="22"/>
          <w:szCs w:val="22"/>
        </w:rPr>
        <w:t>materials.</w:t>
      </w:r>
      <w:r w:rsidRPr="0014205E">
        <w:rPr>
          <w:sz w:val="22"/>
          <w:szCs w:val="22"/>
        </w:rPr>
        <w:t xml:space="preserve"> </w:t>
      </w:r>
    </w:p>
    <w:p w14:paraId="58010D4E" w14:textId="00C0A798" w:rsidR="00D74FE9" w:rsidRDefault="008E0B7F" w:rsidP="000A313A">
      <w:pPr>
        <w:pStyle w:val="ListParagraph"/>
        <w:numPr>
          <w:ilvl w:val="0"/>
          <w:numId w:val="18"/>
        </w:numPr>
        <w:spacing w:after="120"/>
        <w:rPr>
          <w:sz w:val="22"/>
          <w:szCs w:val="22"/>
        </w:rPr>
      </w:pPr>
      <w:r w:rsidRPr="0014205E">
        <w:rPr>
          <w:sz w:val="22"/>
          <w:szCs w:val="22"/>
        </w:rPr>
        <w:t xml:space="preserve">Post exposure the following steps must be completed: </w:t>
      </w:r>
    </w:p>
    <w:p w14:paraId="162050CA" w14:textId="77777777" w:rsidR="00DB55B3" w:rsidRDefault="00DB55B3" w:rsidP="000A313A">
      <w:pPr>
        <w:pStyle w:val="ListParagraph"/>
        <w:numPr>
          <w:ilvl w:val="1"/>
          <w:numId w:val="18"/>
        </w:numPr>
        <w:spacing w:after="120"/>
        <w:rPr>
          <w:sz w:val="22"/>
          <w:szCs w:val="22"/>
        </w:rPr>
      </w:pPr>
      <w:r>
        <w:rPr>
          <w:sz w:val="22"/>
          <w:szCs w:val="22"/>
        </w:rPr>
        <w:t>Immediately r</w:t>
      </w:r>
      <w:r w:rsidRPr="0014205E">
        <w:rPr>
          <w:sz w:val="22"/>
          <w:szCs w:val="22"/>
        </w:rPr>
        <w:t>eport to Supervisor/PI</w:t>
      </w:r>
      <w:r>
        <w:rPr>
          <w:sz w:val="22"/>
          <w:szCs w:val="22"/>
        </w:rPr>
        <w:t>.</w:t>
      </w:r>
      <w:r w:rsidRPr="0014205E">
        <w:rPr>
          <w:sz w:val="22"/>
          <w:szCs w:val="22"/>
        </w:rPr>
        <w:t xml:space="preserve"> </w:t>
      </w:r>
    </w:p>
    <w:p w14:paraId="25E5F8A7" w14:textId="6FC1EBBB" w:rsidR="00D74FE9" w:rsidRDefault="00D74FE9" w:rsidP="000A313A">
      <w:pPr>
        <w:pStyle w:val="ListParagraph"/>
        <w:numPr>
          <w:ilvl w:val="1"/>
          <w:numId w:val="18"/>
        </w:numPr>
        <w:spacing w:after="120"/>
        <w:rPr>
          <w:sz w:val="22"/>
          <w:szCs w:val="22"/>
        </w:rPr>
      </w:pPr>
      <w:r>
        <w:rPr>
          <w:sz w:val="22"/>
          <w:szCs w:val="22"/>
        </w:rPr>
        <w:t>Within 24 hours complete an Incident</w:t>
      </w:r>
      <w:r w:rsidR="008E0B7F" w:rsidRPr="0014205E">
        <w:rPr>
          <w:sz w:val="22"/>
          <w:szCs w:val="22"/>
        </w:rPr>
        <w:t xml:space="preserve"> Report</w:t>
      </w:r>
      <w:r w:rsidR="00DB55B3">
        <w:rPr>
          <w:sz w:val="22"/>
          <w:szCs w:val="22"/>
        </w:rPr>
        <w:t>ing</w:t>
      </w:r>
      <w:r w:rsidR="008E0B7F" w:rsidRPr="0014205E">
        <w:rPr>
          <w:sz w:val="22"/>
          <w:szCs w:val="22"/>
        </w:rPr>
        <w:t xml:space="preserve"> Form </w:t>
      </w:r>
      <w:r>
        <w:rPr>
          <w:sz w:val="22"/>
          <w:szCs w:val="22"/>
        </w:rPr>
        <w:t xml:space="preserve">and submit to the Office of Safety </w:t>
      </w:r>
      <w:r w:rsidR="008E0B7F" w:rsidRPr="008C3607">
        <w:rPr>
          <w:color w:val="215E99" w:themeColor="text2" w:themeTint="BF"/>
          <w:sz w:val="22"/>
          <w:szCs w:val="22"/>
        </w:rPr>
        <w:t>(</w:t>
      </w:r>
      <w:hyperlink r:id="rId35" w:history="1">
        <w:r w:rsidR="00DB55B3" w:rsidRPr="008C3607">
          <w:rPr>
            <w:rStyle w:val="Hyperlink"/>
            <w:color w:val="215E99" w:themeColor="text2" w:themeTint="BF"/>
            <w:sz w:val="22"/>
            <w:szCs w:val="22"/>
          </w:rPr>
          <w:t>https://campus.und.edu/safety/risk-management/incident-reporting-page.html</w:t>
        </w:r>
      </w:hyperlink>
      <w:r w:rsidR="008E0B7F" w:rsidRPr="0014205E">
        <w:rPr>
          <w:sz w:val="22"/>
          <w:szCs w:val="22"/>
        </w:rPr>
        <w:t xml:space="preserve">). </w:t>
      </w:r>
      <w:r w:rsidR="00DB55B3">
        <w:rPr>
          <w:sz w:val="22"/>
          <w:szCs w:val="22"/>
        </w:rPr>
        <w:t xml:space="preserve"> </w:t>
      </w:r>
    </w:p>
    <w:p w14:paraId="7CAFF3A5" w14:textId="7D7D692E" w:rsidR="008E0B7F" w:rsidRDefault="00DB55B3" w:rsidP="000A313A">
      <w:pPr>
        <w:pStyle w:val="ListParagraph"/>
        <w:numPr>
          <w:ilvl w:val="1"/>
          <w:numId w:val="18"/>
        </w:numPr>
        <w:spacing w:after="120"/>
        <w:rPr>
          <w:sz w:val="22"/>
          <w:szCs w:val="22"/>
        </w:rPr>
      </w:pPr>
      <w:r>
        <w:rPr>
          <w:sz w:val="22"/>
          <w:szCs w:val="22"/>
        </w:rPr>
        <w:t xml:space="preserve">Within 3 business days, complete an Incident Investigation Form and submit to the Office of Safety </w:t>
      </w:r>
      <w:r w:rsidRPr="0014205E">
        <w:rPr>
          <w:sz w:val="22"/>
          <w:szCs w:val="22"/>
        </w:rPr>
        <w:t>(</w:t>
      </w:r>
      <w:hyperlink r:id="rId36" w:history="1">
        <w:r w:rsidRPr="008C3607">
          <w:rPr>
            <w:rStyle w:val="Hyperlink"/>
            <w:color w:val="215E99" w:themeColor="text2" w:themeTint="BF"/>
            <w:sz w:val="22"/>
            <w:szCs w:val="22"/>
          </w:rPr>
          <w:t>https://campus.und.edu/safety/risk-management/incident-reporting-page.html</w:t>
        </w:r>
      </w:hyperlink>
      <w:r w:rsidRPr="0014205E">
        <w:rPr>
          <w:sz w:val="22"/>
          <w:szCs w:val="22"/>
        </w:rPr>
        <w:t>)</w:t>
      </w:r>
      <w:r w:rsidR="008E0B7F" w:rsidRPr="0014205E">
        <w:rPr>
          <w:sz w:val="22"/>
          <w:szCs w:val="22"/>
        </w:rPr>
        <w:t>.</w:t>
      </w:r>
      <w:r>
        <w:rPr>
          <w:sz w:val="22"/>
          <w:szCs w:val="22"/>
        </w:rPr>
        <w:t xml:space="preserve"> (Supervisor / Manager)</w:t>
      </w:r>
    </w:p>
    <w:p w14:paraId="7C4E631D" w14:textId="4E85983E" w:rsidR="00B051CC" w:rsidRPr="00B051CC" w:rsidRDefault="00B051CC" w:rsidP="00B051CC">
      <w:pPr>
        <w:spacing w:after="120"/>
        <w:rPr>
          <w:sz w:val="22"/>
          <w:szCs w:val="22"/>
        </w:rPr>
      </w:pPr>
      <w:r>
        <w:rPr>
          <w:sz w:val="22"/>
          <w:szCs w:val="22"/>
        </w:rPr>
        <w:t xml:space="preserve">Refer to </w:t>
      </w:r>
      <w:r w:rsidRPr="00B051CC">
        <w:rPr>
          <w:b/>
          <w:bCs/>
          <w:i/>
          <w:iCs/>
          <w:sz w:val="22"/>
          <w:szCs w:val="22"/>
        </w:rPr>
        <w:t>Bloodborne Pathogens Exposure Control Plan</w:t>
      </w:r>
      <w:r>
        <w:rPr>
          <w:sz w:val="22"/>
          <w:szCs w:val="22"/>
        </w:rPr>
        <w:t xml:space="preserve"> in PolicyStat for additional information.</w:t>
      </w:r>
    </w:p>
    <w:p w14:paraId="6D68F8A2" w14:textId="77777777" w:rsidR="00B051CC" w:rsidRDefault="00B051CC">
      <w:pPr>
        <w:rPr>
          <w:b/>
          <w:bCs/>
          <w:sz w:val="28"/>
          <w:szCs w:val="28"/>
        </w:rPr>
      </w:pPr>
      <w:r>
        <w:rPr>
          <w:b/>
          <w:bCs/>
          <w:sz w:val="28"/>
          <w:szCs w:val="28"/>
        </w:rPr>
        <w:br w:type="page"/>
      </w:r>
    </w:p>
    <w:p w14:paraId="036BA361" w14:textId="762E686C" w:rsidR="00C342D2" w:rsidRPr="00DA572D" w:rsidRDefault="00C342D2" w:rsidP="0014205E">
      <w:pPr>
        <w:spacing w:after="120"/>
        <w:rPr>
          <w:sz w:val="28"/>
          <w:szCs w:val="28"/>
        </w:rPr>
      </w:pPr>
      <w:bookmarkStart w:id="58" w:name="S13Transport"/>
      <w:r w:rsidRPr="00DA572D">
        <w:rPr>
          <w:b/>
          <w:bCs/>
          <w:sz w:val="28"/>
          <w:szCs w:val="28"/>
        </w:rPr>
        <w:lastRenderedPageBreak/>
        <w:t>SECTION 1</w:t>
      </w:r>
      <w:r w:rsidR="00FC69F1" w:rsidRPr="00DA572D">
        <w:rPr>
          <w:b/>
          <w:bCs/>
          <w:sz w:val="28"/>
          <w:szCs w:val="28"/>
        </w:rPr>
        <w:t>3</w:t>
      </w:r>
      <w:r w:rsidRPr="00DA572D">
        <w:rPr>
          <w:b/>
          <w:bCs/>
          <w:sz w:val="28"/>
          <w:szCs w:val="28"/>
        </w:rPr>
        <w:t>: TRANSPORTING BIOLOGICAL MATERIALS</w:t>
      </w:r>
      <w:r w:rsidRPr="00DA572D">
        <w:rPr>
          <w:sz w:val="28"/>
          <w:szCs w:val="28"/>
        </w:rPr>
        <w:t xml:space="preserve"> </w:t>
      </w:r>
    </w:p>
    <w:bookmarkEnd w:id="58"/>
    <w:p w14:paraId="4081CC64" w14:textId="77777777" w:rsidR="00DA572D" w:rsidRDefault="00DA572D" w:rsidP="0014205E">
      <w:pPr>
        <w:spacing w:after="120"/>
        <w:rPr>
          <w:sz w:val="22"/>
          <w:szCs w:val="22"/>
        </w:rPr>
      </w:pPr>
    </w:p>
    <w:p w14:paraId="2BA0432F" w14:textId="5E39395C" w:rsidR="00C342D2" w:rsidRDefault="00C342D2" w:rsidP="0014205E">
      <w:pPr>
        <w:spacing w:after="120"/>
        <w:rPr>
          <w:sz w:val="22"/>
          <w:szCs w:val="22"/>
        </w:rPr>
      </w:pPr>
      <w:r w:rsidRPr="0014205E">
        <w:rPr>
          <w:sz w:val="22"/>
          <w:szCs w:val="22"/>
        </w:rPr>
        <w:t>The movement of biohazardous materials, chemicals, or research animals can fall under various federal and state regulations. U</w:t>
      </w:r>
      <w:r w:rsidR="00DA572D">
        <w:rPr>
          <w:sz w:val="22"/>
          <w:szCs w:val="22"/>
        </w:rPr>
        <w:t>ND</w:t>
      </w:r>
      <w:r w:rsidRPr="0014205E">
        <w:rPr>
          <w:sz w:val="22"/>
          <w:szCs w:val="22"/>
        </w:rPr>
        <w:t xml:space="preserve"> has put into place</w:t>
      </w:r>
      <w:r w:rsidR="00A6352E">
        <w:rPr>
          <w:sz w:val="22"/>
          <w:szCs w:val="22"/>
        </w:rPr>
        <w:t xml:space="preserve"> the following</w:t>
      </w:r>
      <w:r w:rsidRPr="0014205E">
        <w:rPr>
          <w:sz w:val="22"/>
          <w:szCs w:val="22"/>
        </w:rPr>
        <w:t xml:space="preserve"> restrictions on the movement of these materials</w:t>
      </w:r>
      <w:r w:rsidR="00A6352E">
        <w:rPr>
          <w:sz w:val="22"/>
          <w:szCs w:val="22"/>
        </w:rPr>
        <w:t>:</w:t>
      </w:r>
    </w:p>
    <w:p w14:paraId="2B4EB91D" w14:textId="57DD9D48" w:rsidR="00A6352E" w:rsidRDefault="00A6352E" w:rsidP="000A313A">
      <w:pPr>
        <w:pStyle w:val="ListParagraph"/>
        <w:numPr>
          <w:ilvl w:val="0"/>
          <w:numId w:val="57"/>
        </w:numPr>
        <w:spacing w:after="120"/>
        <w:rPr>
          <w:sz w:val="22"/>
          <w:szCs w:val="22"/>
        </w:rPr>
      </w:pPr>
      <w:r w:rsidRPr="00A6352E">
        <w:rPr>
          <w:sz w:val="22"/>
          <w:szCs w:val="22"/>
        </w:rPr>
        <w:t xml:space="preserve">The movement of </w:t>
      </w:r>
      <w:r w:rsidR="00B344AD" w:rsidRPr="0088379F">
        <w:rPr>
          <w:sz w:val="22"/>
          <w:szCs w:val="22"/>
        </w:rPr>
        <w:t>biological</w:t>
      </w:r>
      <w:r w:rsidR="00B344AD">
        <w:rPr>
          <w:sz w:val="22"/>
          <w:szCs w:val="22"/>
        </w:rPr>
        <w:t xml:space="preserve"> </w:t>
      </w:r>
      <w:r w:rsidRPr="00A6352E">
        <w:rPr>
          <w:sz w:val="22"/>
          <w:szCs w:val="22"/>
        </w:rPr>
        <w:t xml:space="preserve">materials by university employees for </w:t>
      </w:r>
      <w:r>
        <w:rPr>
          <w:sz w:val="22"/>
          <w:szCs w:val="22"/>
        </w:rPr>
        <w:t>u</w:t>
      </w:r>
      <w:r w:rsidRPr="00A6352E">
        <w:rPr>
          <w:sz w:val="22"/>
          <w:szCs w:val="22"/>
        </w:rPr>
        <w:t xml:space="preserve">niversity business within the contiguous UND campus is </w:t>
      </w:r>
      <w:r w:rsidR="00B344AD" w:rsidRPr="0088379F">
        <w:rPr>
          <w:sz w:val="22"/>
          <w:szCs w:val="22"/>
        </w:rPr>
        <w:t xml:space="preserve">exempt from </w:t>
      </w:r>
      <w:r w:rsidRPr="00A6352E">
        <w:rPr>
          <w:sz w:val="22"/>
          <w:szCs w:val="22"/>
        </w:rPr>
        <w:t xml:space="preserve">DOT </w:t>
      </w:r>
      <w:r w:rsidR="00B344AD" w:rsidRPr="0088379F">
        <w:rPr>
          <w:sz w:val="22"/>
          <w:szCs w:val="22"/>
        </w:rPr>
        <w:t xml:space="preserve">requirements under the </w:t>
      </w:r>
      <w:r w:rsidR="00B344AD" w:rsidRPr="00861CD9">
        <w:rPr>
          <w:i/>
          <w:iCs/>
          <w:sz w:val="22"/>
          <w:szCs w:val="22"/>
        </w:rPr>
        <w:t>Materials of Trade Exception</w:t>
      </w:r>
      <w:r w:rsidR="00861CD9">
        <w:rPr>
          <w:i/>
          <w:iCs/>
          <w:sz w:val="22"/>
          <w:szCs w:val="22"/>
        </w:rPr>
        <w:t xml:space="preserve"> </w:t>
      </w:r>
      <w:r w:rsidR="00861CD9" w:rsidRPr="00861CD9">
        <w:rPr>
          <w:sz w:val="22"/>
          <w:szCs w:val="22"/>
        </w:rPr>
        <w:t>(49 CFR 173.6)</w:t>
      </w:r>
      <w:r w:rsidR="00B344AD" w:rsidRPr="00861CD9">
        <w:rPr>
          <w:sz w:val="22"/>
          <w:szCs w:val="22"/>
        </w:rPr>
        <w:t>.</w:t>
      </w:r>
      <w:r w:rsidR="00B344AD" w:rsidRPr="0088379F">
        <w:rPr>
          <w:sz w:val="22"/>
          <w:szCs w:val="22"/>
        </w:rPr>
        <w:t xml:space="preserve"> These samples are </w:t>
      </w:r>
      <w:r w:rsidR="00861CD9">
        <w:rPr>
          <w:sz w:val="22"/>
          <w:szCs w:val="22"/>
        </w:rPr>
        <w:t>handled</w:t>
      </w:r>
      <w:r w:rsidR="00B344AD">
        <w:rPr>
          <w:color w:val="FF0000"/>
          <w:sz w:val="22"/>
          <w:szCs w:val="22"/>
        </w:rPr>
        <w:t xml:space="preserve"> </w:t>
      </w:r>
      <w:r w:rsidRPr="00A6352E">
        <w:rPr>
          <w:sz w:val="22"/>
          <w:szCs w:val="22"/>
        </w:rPr>
        <w:t xml:space="preserve">as hazardous materials </w:t>
      </w:r>
      <w:r w:rsidR="00B344AD" w:rsidRPr="0088379F">
        <w:rPr>
          <w:sz w:val="22"/>
          <w:szCs w:val="22"/>
        </w:rPr>
        <w:t>with</w:t>
      </w:r>
      <w:r w:rsidR="00B344AD">
        <w:rPr>
          <w:sz w:val="22"/>
          <w:szCs w:val="22"/>
        </w:rPr>
        <w:t xml:space="preserve"> </w:t>
      </w:r>
      <w:r w:rsidRPr="00A6352E">
        <w:rPr>
          <w:sz w:val="22"/>
          <w:szCs w:val="22"/>
        </w:rPr>
        <w:t xml:space="preserve">training and safety precautions </w:t>
      </w:r>
      <w:r w:rsidR="00B344AD" w:rsidRPr="0088379F">
        <w:rPr>
          <w:sz w:val="22"/>
          <w:szCs w:val="22"/>
        </w:rPr>
        <w:t xml:space="preserve">being </w:t>
      </w:r>
      <w:r w:rsidRPr="0088379F">
        <w:rPr>
          <w:sz w:val="22"/>
          <w:szCs w:val="22"/>
        </w:rPr>
        <w:t>required</w:t>
      </w:r>
      <w:r w:rsidR="00B344AD" w:rsidRPr="0088379F">
        <w:rPr>
          <w:sz w:val="22"/>
          <w:szCs w:val="22"/>
        </w:rPr>
        <w:t xml:space="preserve"> for </w:t>
      </w:r>
      <w:r w:rsidR="0088379F" w:rsidRPr="0088379F">
        <w:rPr>
          <w:sz w:val="22"/>
          <w:szCs w:val="22"/>
        </w:rPr>
        <w:t>their</w:t>
      </w:r>
      <w:r w:rsidR="00B344AD" w:rsidRPr="0088379F">
        <w:rPr>
          <w:sz w:val="22"/>
          <w:szCs w:val="22"/>
        </w:rPr>
        <w:t xml:space="preserve"> transport</w:t>
      </w:r>
      <w:r>
        <w:rPr>
          <w:sz w:val="22"/>
          <w:szCs w:val="22"/>
        </w:rPr>
        <w:t>.</w:t>
      </w:r>
      <w:r w:rsidR="00B344AD">
        <w:rPr>
          <w:sz w:val="22"/>
          <w:szCs w:val="22"/>
        </w:rPr>
        <w:t xml:space="preserve"> </w:t>
      </w:r>
      <w:r w:rsidR="00A7520B">
        <w:rPr>
          <w:sz w:val="22"/>
          <w:szCs w:val="22"/>
        </w:rPr>
        <w:t xml:space="preserve">In order to comply with this </w:t>
      </w:r>
      <w:r w:rsidR="0088379F">
        <w:rPr>
          <w:sz w:val="22"/>
          <w:szCs w:val="22"/>
        </w:rPr>
        <w:t>exception</w:t>
      </w:r>
      <w:r w:rsidR="00A7520B">
        <w:rPr>
          <w:sz w:val="22"/>
          <w:szCs w:val="22"/>
        </w:rPr>
        <w:t xml:space="preserve">, the following guidelines must be met for </w:t>
      </w:r>
      <w:r w:rsidR="0088379F">
        <w:rPr>
          <w:sz w:val="22"/>
          <w:szCs w:val="22"/>
        </w:rPr>
        <w:t>transport</w:t>
      </w:r>
      <w:r w:rsidR="00A7520B">
        <w:rPr>
          <w:sz w:val="22"/>
          <w:szCs w:val="22"/>
        </w:rPr>
        <w:t xml:space="preserve"> in a private vehicle:</w:t>
      </w:r>
    </w:p>
    <w:p w14:paraId="65B34E54" w14:textId="1CD5D977" w:rsidR="00A7520B" w:rsidRDefault="00A7520B" w:rsidP="00A7520B">
      <w:pPr>
        <w:pStyle w:val="ListParagraph"/>
        <w:numPr>
          <w:ilvl w:val="1"/>
          <w:numId w:val="57"/>
        </w:numPr>
        <w:spacing w:after="120"/>
        <w:rPr>
          <w:sz w:val="22"/>
          <w:szCs w:val="22"/>
        </w:rPr>
      </w:pPr>
      <w:r>
        <w:rPr>
          <w:sz w:val="22"/>
          <w:szCs w:val="22"/>
        </w:rPr>
        <w:t xml:space="preserve">Specimens cannot contain a </w:t>
      </w:r>
      <w:r w:rsidRPr="00A7520B">
        <w:rPr>
          <w:sz w:val="22"/>
          <w:szCs w:val="22"/>
        </w:rPr>
        <w:t xml:space="preserve">Category A infectious </w:t>
      </w:r>
      <w:r w:rsidR="00353560" w:rsidRPr="00A7520B">
        <w:rPr>
          <w:sz w:val="22"/>
          <w:szCs w:val="22"/>
        </w:rPr>
        <w:t>substance.</w:t>
      </w:r>
    </w:p>
    <w:p w14:paraId="2ED1A53D" w14:textId="03D4FB49" w:rsidR="00A7520B" w:rsidRDefault="00A7520B" w:rsidP="00A7520B">
      <w:pPr>
        <w:pStyle w:val="ListParagraph"/>
        <w:numPr>
          <w:ilvl w:val="1"/>
          <w:numId w:val="57"/>
        </w:numPr>
        <w:spacing w:after="120"/>
        <w:rPr>
          <w:sz w:val="22"/>
          <w:szCs w:val="22"/>
        </w:rPr>
      </w:pPr>
      <w:r w:rsidRPr="00A7520B">
        <w:rPr>
          <w:sz w:val="22"/>
          <w:szCs w:val="22"/>
        </w:rPr>
        <w:t>One or more inner packag</w:t>
      </w:r>
      <w:r>
        <w:rPr>
          <w:sz w:val="22"/>
          <w:szCs w:val="22"/>
        </w:rPr>
        <w:t>e</w:t>
      </w:r>
      <w:r w:rsidRPr="00A7520B">
        <w:rPr>
          <w:sz w:val="22"/>
          <w:szCs w:val="22"/>
        </w:rPr>
        <w:t xml:space="preserve">s, each of which may not contain more than 0.5 kg (1.1 </w:t>
      </w:r>
      <w:r w:rsidR="008C3607" w:rsidRPr="00A7520B">
        <w:rPr>
          <w:sz w:val="22"/>
          <w:szCs w:val="22"/>
        </w:rPr>
        <w:t>lbs.</w:t>
      </w:r>
      <w:r w:rsidRPr="00A7520B">
        <w:rPr>
          <w:sz w:val="22"/>
          <w:szCs w:val="22"/>
        </w:rPr>
        <w:t xml:space="preserve">) or 0.5 L (17 ounces), and an outer packaging containing not more than 4 kg (8.8 </w:t>
      </w:r>
      <w:r w:rsidR="008C3607" w:rsidRPr="00A7520B">
        <w:rPr>
          <w:sz w:val="22"/>
          <w:szCs w:val="22"/>
        </w:rPr>
        <w:t>lbs.</w:t>
      </w:r>
      <w:r w:rsidRPr="00A7520B">
        <w:rPr>
          <w:sz w:val="22"/>
          <w:szCs w:val="22"/>
        </w:rPr>
        <w:t>) or 4 L (1 gallon)</w:t>
      </w:r>
      <w:r w:rsidR="00213F0F">
        <w:rPr>
          <w:sz w:val="22"/>
          <w:szCs w:val="22"/>
        </w:rPr>
        <w:t xml:space="preserve"> </w:t>
      </w:r>
    </w:p>
    <w:p w14:paraId="1950059D" w14:textId="59F03328" w:rsidR="00213F0F" w:rsidRDefault="00213F0F" w:rsidP="00A7520B">
      <w:pPr>
        <w:pStyle w:val="ListParagraph"/>
        <w:numPr>
          <w:ilvl w:val="1"/>
          <w:numId w:val="57"/>
        </w:numPr>
        <w:spacing w:after="120"/>
        <w:rPr>
          <w:sz w:val="22"/>
          <w:szCs w:val="22"/>
        </w:rPr>
      </w:pPr>
      <w:r w:rsidRPr="00213F0F">
        <w:rPr>
          <w:sz w:val="22"/>
          <w:szCs w:val="22"/>
        </w:rPr>
        <w:t xml:space="preserve">A single inner packaging containing not more than 16 kg (35.2 </w:t>
      </w:r>
      <w:r w:rsidR="008C3607" w:rsidRPr="00213F0F">
        <w:rPr>
          <w:sz w:val="22"/>
          <w:szCs w:val="22"/>
        </w:rPr>
        <w:t>lbs.</w:t>
      </w:r>
      <w:r w:rsidRPr="00213F0F">
        <w:rPr>
          <w:sz w:val="22"/>
          <w:szCs w:val="22"/>
        </w:rPr>
        <w:t>) or 16 L (4.2 gal) in a single outer packaging.</w:t>
      </w:r>
    </w:p>
    <w:p w14:paraId="66162CB7" w14:textId="560B30A6" w:rsidR="00A7520B" w:rsidRDefault="00A7520B" w:rsidP="00A7520B">
      <w:pPr>
        <w:pStyle w:val="ListParagraph"/>
        <w:numPr>
          <w:ilvl w:val="1"/>
          <w:numId w:val="57"/>
        </w:numPr>
        <w:spacing w:after="120"/>
        <w:rPr>
          <w:sz w:val="22"/>
          <w:szCs w:val="22"/>
        </w:rPr>
      </w:pPr>
      <w:r w:rsidRPr="00A7520B">
        <w:rPr>
          <w:sz w:val="22"/>
          <w:szCs w:val="22"/>
        </w:rPr>
        <w:t>Packag</w:t>
      </w:r>
      <w:r>
        <w:rPr>
          <w:sz w:val="22"/>
          <w:szCs w:val="22"/>
        </w:rPr>
        <w:t>e</w:t>
      </w:r>
      <w:r w:rsidRPr="00A7520B">
        <w:rPr>
          <w:sz w:val="22"/>
          <w:szCs w:val="22"/>
        </w:rPr>
        <w:t>s must be leak</w:t>
      </w:r>
      <w:r w:rsidR="0088379F">
        <w:rPr>
          <w:sz w:val="22"/>
          <w:szCs w:val="22"/>
        </w:rPr>
        <w:t>-</w:t>
      </w:r>
      <w:r w:rsidRPr="00A7520B">
        <w:rPr>
          <w:sz w:val="22"/>
          <w:szCs w:val="22"/>
        </w:rPr>
        <w:t>tight for liquids and gases, sift proof for solids, and be securely closed, secured against shifting, and protected against damage.</w:t>
      </w:r>
    </w:p>
    <w:p w14:paraId="4D101723" w14:textId="77777777" w:rsidR="00A7520B" w:rsidRDefault="00A7520B" w:rsidP="00A7520B">
      <w:pPr>
        <w:pStyle w:val="ListParagraph"/>
        <w:numPr>
          <w:ilvl w:val="1"/>
          <w:numId w:val="57"/>
        </w:numPr>
        <w:spacing w:after="120"/>
        <w:rPr>
          <w:sz w:val="22"/>
          <w:szCs w:val="22"/>
        </w:rPr>
      </w:pPr>
      <w:r w:rsidRPr="00A7520B">
        <w:rPr>
          <w:sz w:val="22"/>
          <w:szCs w:val="22"/>
        </w:rPr>
        <w:t>A non-bulk packag</w:t>
      </w:r>
      <w:r>
        <w:rPr>
          <w:sz w:val="22"/>
          <w:szCs w:val="22"/>
        </w:rPr>
        <w:t xml:space="preserve">e </w:t>
      </w:r>
      <w:r w:rsidRPr="00A7520B">
        <w:rPr>
          <w:sz w:val="22"/>
          <w:szCs w:val="22"/>
        </w:rPr>
        <w:t>must be marked with a common name or proper shipping name to identify the material it contains, including the letters “RQ” if it contains a reportable quantity of a hazardous substance.</w:t>
      </w:r>
      <w:r>
        <w:rPr>
          <w:sz w:val="22"/>
          <w:szCs w:val="22"/>
        </w:rPr>
        <w:t xml:space="preserve"> </w:t>
      </w:r>
    </w:p>
    <w:p w14:paraId="400B1A18" w14:textId="70F2BE97" w:rsidR="00A7520B" w:rsidRDefault="00A7520B" w:rsidP="00A7520B">
      <w:pPr>
        <w:pStyle w:val="ListParagraph"/>
        <w:numPr>
          <w:ilvl w:val="1"/>
          <w:numId w:val="57"/>
        </w:numPr>
        <w:spacing w:after="120"/>
        <w:rPr>
          <w:sz w:val="22"/>
          <w:szCs w:val="22"/>
        </w:rPr>
      </w:pPr>
      <w:r w:rsidRPr="00A7520B">
        <w:rPr>
          <w:sz w:val="22"/>
          <w:szCs w:val="22"/>
        </w:rPr>
        <w:t>A bulk packag</w:t>
      </w:r>
      <w:r w:rsidR="0088379F">
        <w:rPr>
          <w:sz w:val="22"/>
          <w:szCs w:val="22"/>
        </w:rPr>
        <w:t>e</w:t>
      </w:r>
      <w:r w:rsidRPr="00A7520B">
        <w:rPr>
          <w:sz w:val="22"/>
          <w:szCs w:val="22"/>
        </w:rPr>
        <w:t xml:space="preserve"> containing a diluted mixture of a Class 9 material must be marked on two opposing sides with the four-digit identification number of the material. The identification number must be displayed on placards, orange panels or, alternatively, a white square-on-point configuration having the same outside dimensions as a </w:t>
      </w:r>
      <w:r w:rsidR="00353560" w:rsidRPr="00A7520B">
        <w:rPr>
          <w:sz w:val="22"/>
          <w:szCs w:val="22"/>
        </w:rPr>
        <w:t>placard.</w:t>
      </w:r>
    </w:p>
    <w:p w14:paraId="3D506C9E" w14:textId="0E647C8E" w:rsidR="00A7520B" w:rsidRDefault="00A7520B" w:rsidP="00A7520B">
      <w:pPr>
        <w:pStyle w:val="ListParagraph"/>
        <w:numPr>
          <w:ilvl w:val="1"/>
          <w:numId w:val="57"/>
        </w:numPr>
        <w:spacing w:after="120"/>
        <w:rPr>
          <w:sz w:val="22"/>
          <w:szCs w:val="22"/>
        </w:rPr>
      </w:pPr>
      <w:r w:rsidRPr="00A7520B">
        <w:rPr>
          <w:sz w:val="22"/>
          <w:szCs w:val="22"/>
        </w:rPr>
        <w:t>The operator of a motor vehicle that contains a material of trade must be informed of the presence of the hazardous material (including whether the package contains a reportable quantity)</w:t>
      </w:r>
    </w:p>
    <w:p w14:paraId="1E3AFC5F" w14:textId="628F10A7" w:rsidR="00A6352E" w:rsidRDefault="00A6352E" w:rsidP="000A313A">
      <w:pPr>
        <w:pStyle w:val="ListParagraph"/>
        <w:numPr>
          <w:ilvl w:val="0"/>
          <w:numId w:val="57"/>
        </w:numPr>
        <w:spacing w:after="120"/>
        <w:rPr>
          <w:sz w:val="22"/>
          <w:szCs w:val="22"/>
        </w:rPr>
      </w:pPr>
      <w:r w:rsidRPr="00A6352E">
        <w:rPr>
          <w:sz w:val="22"/>
          <w:szCs w:val="22"/>
        </w:rPr>
        <w:t>Transporting hazardous materials on public roads is prohibited unless it is in accordance with USDOT Materials of Trade regulations, or by someone with a commercial driver's license with a hazardous material endorsement in accordance with 49 CFR.</w:t>
      </w:r>
    </w:p>
    <w:p w14:paraId="0A00E8FC" w14:textId="08003DC1" w:rsidR="00A6352E" w:rsidRDefault="00A6352E" w:rsidP="000A313A">
      <w:pPr>
        <w:pStyle w:val="ListParagraph"/>
        <w:numPr>
          <w:ilvl w:val="0"/>
          <w:numId w:val="57"/>
        </w:numPr>
        <w:spacing w:after="120"/>
        <w:rPr>
          <w:sz w:val="22"/>
          <w:szCs w:val="22"/>
        </w:rPr>
      </w:pPr>
      <w:r w:rsidRPr="00A6352E">
        <w:rPr>
          <w:sz w:val="22"/>
          <w:szCs w:val="22"/>
        </w:rPr>
        <w:t xml:space="preserve">Authorized shippers approved to ship domestically must have approval from the Office of Safety and are trained in accordance </w:t>
      </w:r>
      <w:r w:rsidR="008C3607" w:rsidRPr="00A6352E">
        <w:rPr>
          <w:sz w:val="22"/>
          <w:szCs w:val="22"/>
        </w:rPr>
        <w:t>with</w:t>
      </w:r>
      <w:r w:rsidRPr="00A6352E">
        <w:rPr>
          <w:sz w:val="22"/>
          <w:szCs w:val="22"/>
        </w:rPr>
        <w:t xml:space="preserve"> 49 CFR 172.00 (USDOT). Training must be documented and completed every three years.</w:t>
      </w:r>
    </w:p>
    <w:p w14:paraId="0F759BB3" w14:textId="6E649E3F" w:rsidR="00A6352E" w:rsidRPr="00A6352E" w:rsidRDefault="00A6352E" w:rsidP="000A313A">
      <w:pPr>
        <w:pStyle w:val="ListParagraph"/>
        <w:numPr>
          <w:ilvl w:val="0"/>
          <w:numId w:val="57"/>
        </w:numPr>
        <w:spacing w:after="120"/>
        <w:rPr>
          <w:sz w:val="22"/>
          <w:szCs w:val="22"/>
        </w:rPr>
      </w:pPr>
      <w:r w:rsidRPr="00A6352E">
        <w:rPr>
          <w:sz w:val="22"/>
          <w:szCs w:val="22"/>
        </w:rPr>
        <w:t>To ship internationally, the authorized shipper must be approved by the Office of Safety to ship outside the US and have completed training on IATA Dangerous Goods Regulations. The training must be documented and completed every two years. Applicable international shipping requirements must be followed for international shipments of hazardous materials by air, land, or sea.</w:t>
      </w:r>
    </w:p>
    <w:p w14:paraId="429E275A" w14:textId="22ED1C5C" w:rsidR="00C342D2" w:rsidRPr="0014205E" w:rsidRDefault="00440D57" w:rsidP="0014205E">
      <w:pPr>
        <w:spacing w:after="120"/>
        <w:rPr>
          <w:sz w:val="22"/>
          <w:szCs w:val="22"/>
        </w:rPr>
      </w:pPr>
      <w:r w:rsidRPr="00440D57">
        <w:rPr>
          <w:sz w:val="22"/>
          <w:szCs w:val="22"/>
        </w:rPr>
        <w:lastRenderedPageBreak/>
        <w:t xml:space="preserve">Refer to </w:t>
      </w:r>
      <w:r w:rsidRPr="00440D57">
        <w:rPr>
          <w:b/>
          <w:bCs/>
          <w:i/>
          <w:iCs/>
          <w:sz w:val="22"/>
          <w:szCs w:val="22"/>
        </w:rPr>
        <w:t>Transport, Shipment, and Receipt of Hazardous Materials and Dangerous Goods</w:t>
      </w:r>
      <w:r>
        <w:rPr>
          <w:b/>
          <w:bCs/>
          <w:i/>
          <w:iCs/>
          <w:sz w:val="22"/>
          <w:szCs w:val="22"/>
        </w:rPr>
        <w:t xml:space="preserve"> </w:t>
      </w:r>
      <w:r w:rsidRPr="00440D57">
        <w:rPr>
          <w:sz w:val="22"/>
          <w:szCs w:val="22"/>
        </w:rPr>
        <w:t>in PolicyStat for additional details.</w:t>
      </w:r>
    </w:p>
    <w:p w14:paraId="1EB9B674" w14:textId="77777777" w:rsidR="0051064F" w:rsidRDefault="0051064F" w:rsidP="0014205E">
      <w:pPr>
        <w:spacing w:after="120"/>
        <w:rPr>
          <w:b/>
          <w:bCs/>
          <w:sz w:val="28"/>
          <w:szCs w:val="28"/>
        </w:rPr>
      </w:pPr>
    </w:p>
    <w:p w14:paraId="18CBD984" w14:textId="4F7D8DE7" w:rsidR="00C342D2" w:rsidRPr="00DA572D" w:rsidRDefault="00C342D2" w:rsidP="0014205E">
      <w:pPr>
        <w:spacing w:after="120"/>
        <w:rPr>
          <w:sz w:val="28"/>
          <w:szCs w:val="28"/>
        </w:rPr>
      </w:pPr>
      <w:bookmarkStart w:id="59" w:name="S14SelectAgents"/>
      <w:r w:rsidRPr="00DA572D">
        <w:rPr>
          <w:b/>
          <w:bCs/>
          <w:sz w:val="28"/>
          <w:szCs w:val="28"/>
        </w:rPr>
        <w:t>SECTION 1</w:t>
      </w:r>
      <w:r w:rsidR="0051064F">
        <w:rPr>
          <w:b/>
          <w:bCs/>
          <w:sz w:val="28"/>
          <w:szCs w:val="28"/>
        </w:rPr>
        <w:t>4</w:t>
      </w:r>
      <w:r w:rsidRPr="00DA572D">
        <w:rPr>
          <w:b/>
          <w:bCs/>
          <w:sz w:val="28"/>
          <w:szCs w:val="28"/>
        </w:rPr>
        <w:t>: SELECT AGENTS</w:t>
      </w:r>
      <w:r w:rsidRPr="00DA572D">
        <w:rPr>
          <w:sz w:val="28"/>
          <w:szCs w:val="28"/>
        </w:rPr>
        <w:t xml:space="preserve"> </w:t>
      </w:r>
    </w:p>
    <w:bookmarkEnd w:id="59"/>
    <w:p w14:paraId="044D9AC7" w14:textId="77777777" w:rsidR="00DA572D" w:rsidRDefault="00DA572D" w:rsidP="0014205E">
      <w:pPr>
        <w:spacing w:after="120"/>
        <w:rPr>
          <w:sz w:val="22"/>
          <w:szCs w:val="22"/>
        </w:rPr>
      </w:pPr>
    </w:p>
    <w:p w14:paraId="4EA9EDC5" w14:textId="77777777" w:rsidR="00F469FD" w:rsidRDefault="00C342D2" w:rsidP="0014205E">
      <w:pPr>
        <w:spacing w:after="120"/>
        <w:rPr>
          <w:sz w:val="22"/>
          <w:szCs w:val="22"/>
        </w:rPr>
      </w:pPr>
      <w:r w:rsidRPr="0014205E">
        <w:rPr>
          <w:sz w:val="22"/>
          <w:szCs w:val="22"/>
        </w:rPr>
        <w:t xml:space="preserve">Researchers who wish to obtain or transfer Select Agent pathogens or regulated amounts of Select Agent toxins, specifically listed by CDC and USDA, must contact </w:t>
      </w:r>
      <w:r w:rsidR="00F469FD">
        <w:rPr>
          <w:sz w:val="22"/>
          <w:szCs w:val="22"/>
        </w:rPr>
        <w:t>the Office of Safety</w:t>
      </w:r>
      <w:r w:rsidRPr="0014205E">
        <w:rPr>
          <w:sz w:val="22"/>
          <w:szCs w:val="22"/>
        </w:rPr>
        <w:t xml:space="preserve"> at </w:t>
      </w:r>
      <w:r w:rsidR="00F469FD">
        <w:rPr>
          <w:sz w:val="22"/>
          <w:szCs w:val="22"/>
        </w:rPr>
        <w:t>UND.safety</w:t>
      </w:r>
      <w:r w:rsidRPr="0014205E">
        <w:rPr>
          <w:sz w:val="22"/>
          <w:szCs w:val="22"/>
        </w:rPr>
        <w:t>@</w:t>
      </w:r>
      <w:r w:rsidR="00F469FD">
        <w:rPr>
          <w:sz w:val="22"/>
          <w:szCs w:val="22"/>
        </w:rPr>
        <w:t>UND</w:t>
      </w:r>
      <w:r w:rsidRPr="0014205E">
        <w:rPr>
          <w:sz w:val="22"/>
          <w:szCs w:val="22"/>
        </w:rPr>
        <w:t xml:space="preserve">.edu for additional information and guidance. </w:t>
      </w:r>
    </w:p>
    <w:p w14:paraId="055D22BB" w14:textId="20992912" w:rsidR="00C342D2" w:rsidRPr="0014205E" w:rsidRDefault="00C342D2" w:rsidP="0014205E">
      <w:pPr>
        <w:spacing w:after="120"/>
        <w:rPr>
          <w:sz w:val="22"/>
          <w:szCs w:val="22"/>
        </w:rPr>
      </w:pPr>
      <w:r w:rsidRPr="0014205E">
        <w:rPr>
          <w:sz w:val="22"/>
          <w:szCs w:val="22"/>
        </w:rPr>
        <w:t xml:space="preserve">Certain select agent materials that meet regulatory criteria are exempt from registration with the CDC/APHIS. Laboratories using quantities of toxins </w:t>
      </w:r>
      <w:r w:rsidR="00E410AA">
        <w:rPr>
          <w:sz w:val="22"/>
          <w:szCs w:val="22"/>
        </w:rPr>
        <w:t>less than</w:t>
      </w:r>
      <w:r w:rsidRPr="0014205E">
        <w:rPr>
          <w:sz w:val="22"/>
          <w:szCs w:val="22"/>
        </w:rPr>
        <w:t xml:space="preserve"> federally established thresholds are required </w:t>
      </w:r>
      <w:r w:rsidR="0051064F" w:rsidRPr="0014205E">
        <w:rPr>
          <w:sz w:val="22"/>
          <w:szCs w:val="22"/>
        </w:rPr>
        <w:t>to register</w:t>
      </w:r>
      <w:r w:rsidRPr="0014205E">
        <w:rPr>
          <w:sz w:val="22"/>
          <w:szCs w:val="22"/>
        </w:rPr>
        <w:t xml:space="preserve"> with </w:t>
      </w:r>
      <w:r w:rsidR="008C3607" w:rsidRPr="0014205E">
        <w:rPr>
          <w:sz w:val="22"/>
          <w:szCs w:val="22"/>
        </w:rPr>
        <w:t>IBC</w:t>
      </w:r>
      <w:r w:rsidRPr="0014205E">
        <w:rPr>
          <w:sz w:val="22"/>
          <w:szCs w:val="22"/>
        </w:rPr>
        <w:t>.</w:t>
      </w:r>
    </w:p>
    <w:p w14:paraId="26CA597F" w14:textId="77777777" w:rsidR="00C342D2" w:rsidRPr="0014205E" w:rsidRDefault="00C342D2" w:rsidP="0014205E">
      <w:pPr>
        <w:spacing w:after="120"/>
        <w:rPr>
          <w:sz w:val="22"/>
          <w:szCs w:val="22"/>
        </w:rPr>
      </w:pPr>
    </w:p>
    <w:p w14:paraId="140B44B4" w14:textId="0175D52D" w:rsidR="00DA572D" w:rsidRDefault="00DA572D" w:rsidP="0014205E">
      <w:pPr>
        <w:spacing w:after="120"/>
        <w:rPr>
          <w:b/>
          <w:bCs/>
          <w:sz w:val="28"/>
          <w:szCs w:val="28"/>
        </w:rPr>
      </w:pPr>
      <w:bookmarkStart w:id="60" w:name="S15DEAControlleed"/>
      <w:r w:rsidRPr="00DA572D">
        <w:rPr>
          <w:b/>
          <w:bCs/>
          <w:sz w:val="28"/>
          <w:szCs w:val="28"/>
        </w:rPr>
        <w:t>SECTION 1</w:t>
      </w:r>
      <w:r w:rsidR="0051064F">
        <w:rPr>
          <w:b/>
          <w:bCs/>
          <w:sz w:val="28"/>
          <w:szCs w:val="28"/>
        </w:rPr>
        <w:t>5</w:t>
      </w:r>
      <w:r w:rsidRPr="00DA572D">
        <w:rPr>
          <w:b/>
          <w:bCs/>
          <w:sz w:val="28"/>
          <w:szCs w:val="28"/>
        </w:rPr>
        <w:t>: DEA CONTROLLED SUBSTANCES</w:t>
      </w:r>
    </w:p>
    <w:bookmarkEnd w:id="60"/>
    <w:p w14:paraId="4015681F" w14:textId="77777777" w:rsidR="00FD65B5" w:rsidRPr="00DA572D" w:rsidRDefault="00FD65B5" w:rsidP="0014205E">
      <w:pPr>
        <w:spacing w:after="120"/>
        <w:rPr>
          <w:b/>
          <w:bCs/>
          <w:sz w:val="28"/>
          <w:szCs w:val="28"/>
        </w:rPr>
      </w:pPr>
    </w:p>
    <w:p w14:paraId="79CA7342" w14:textId="518D8DB5" w:rsidR="00DA572D" w:rsidRDefault="00FD65B5" w:rsidP="0014205E">
      <w:pPr>
        <w:spacing w:after="120"/>
        <w:rPr>
          <w:sz w:val="22"/>
          <w:szCs w:val="22"/>
        </w:rPr>
      </w:pPr>
      <w:r>
        <w:rPr>
          <w:sz w:val="22"/>
          <w:szCs w:val="22"/>
        </w:rPr>
        <w:t>I</w:t>
      </w:r>
      <w:r w:rsidRPr="00FD65B5">
        <w:rPr>
          <w:sz w:val="22"/>
          <w:szCs w:val="22"/>
        </w:rPr>
        <w:t xml:space="preserve">t is the responsibility of each </w:t>
      </w:r>
      <w:r w:rsidR="00463218">
        <w:rPr>
          <w:sz w:val="22"/>
          <w:szCs w:val="22"/>
        </w:rPr>
        <w:t>P</w:t>
      </w:r>
      <w:r w:rsidRPr="00FD65B5">
        <w:rPr>
          <w:sz w:val="22"/>
          <w:szCs w:val="22"/>
        </w:rPr>
        <w:t xml:space="preserve">rincipal </w:t>
      </w:r>
      <w:r w:rsidR="00CA1830">
        <w:rPr>
          <w:sz w:val="22"/>
          <w:szCs w:val="22"/>
        </w:rPr>
        <w:t>I</w:t>
      </w:r>
      <w:r w:rsidRPr="00FD65B5">
        <w:rPr>
          <w:sz w:val="22"/>
          <w:szCs w:val="22"/>
        </w:rPr>
        <w:t>nvestigator (PI) to obtain appropriate licenses and registration and to adhere to applicable state and federal regulatory requirements when working with controlled substances. DEA controlled substances cannot be shared between PIs, unless both PIs are co-researchers on the same grant and the second PI is listed as an authorized user under the PI with the registration. PIs must register their controlled substance(s) with the federal DEA as well as the North Dakota State Board of Pharmacy.</w:t>
      </w:r>
    </w:p>
    <w:p w14:paraId="3E6C92AC" w14:textId="4F533DBD" w:rsidR="00FD65B5" w:rsidRDefault="00FD65B5" w:rsidP="0014205E">
      <w:pPr>
        <w:spacing w:after="120"/>
        <w:rPr>
          <w:sz w:val="22"/>
          <w:szCs w:val="22"/>
        </w:rPr>
      </w:pPr>
      <w:r w:rsidRPr="00FD65B5">
        <w:rPr>
          <w:sz w:val="22"/>
          <w:szCs w:val="22"/>
        </w:rPr>
        <w:t>The DEA registrant is responsible for managing the controlled substances according to the regulatory requirements covering inventory, record keeping, and security provisions. Registrants may authorize laboratory employees (termed, “authorized users”) to work with controlled substances on their behalf. Approved activities, including administration of controlled substances, must be delegated in writing by the registrant to the authorized user.</w:t>
      </w:r>
    </w:p>
    <w:p w14:paraId="5684EFB6" w14:textId="04AA3C70" w:rsidR="00FD65B5" w:rsidRDefault="00FD65B5" w:rsidP="0014205E">
      <w:pPr>
        <w:spacing w:after="120"/>
        <w:rPr>
          <w:sz w:val="22"/>
          <w:szCs w:val="22"/>
        </w:rPr>
      </w:pPr>
      <w:r>
        <w:rPr>
          <w:sz w:val="22"/>
          <w:szCs w:val="22"/>
        </w:rPr>
        <w:t>The DEA registrant is ultimately responsible for:</w:t>
      </w:r>
    </w:p>
    <w:p w14:paraId="05CF684A" w14:textId="77777777" w:rsidR="00FD65B5" w:rsidRDefault="00FD65B5" w:rsidP="000A313A">
      <w:pPr>
        <w:pStyle w:val="ListParagraph"/>
        <w:numPr>
          <w:ilvl w:val="0"/>
          <w:numId w:val="58"/>
        </w:numPr>
        <w:spacing w:after="120"/>
        <w:rPr>
          <w:sz w:val="22"/>
          <w:szCs w:val="22"/>
        </w:rPr>
      </w:pPr>
      <w:r>
        <w:rPr>
          <w:sz w:val="22"/>
          <w:szCs w:val="22"/>
        </w:rPr>
        <w:t>Inventory Tracking</w:t>
      </w:r>
    </w:p>
    <w:p w14:paraId="73D825E3" w14:textId="35A7EA2C" w:rsidR="00FD65B5" w:rsidRDefault="00FD65B5" w:rsidP="000A313A">
      <w:pPr>
        <w:pStyle w:val="ListParagraph"/>
        <w:numPr>
          <w:ilvl w:val="0"/>
          <w:numId w:val="58"/>
        </w:numPr>
        <w:spacing w:after="120"/>
        <w:rPr>
          <w:sz w:val="22"/>
          <w:szCs w:val="22"/>
        </w:rPr>
      </w:pPr>
      <w:r>
        <w:rPr>
          <w:sz w:val="22"/>
          <w:szCs w:val="22"/>
        </w:rPr>
        <w:t>Storage and Security</w:t>
      </w:r>
    </w:p>
    <w:p w14:paraId="7C343B8A" w14:textId="54273147" w:rsidR="00FD65B5" w:rsidRDefault="00FD65B5" w:rsidP="000A313A">
      <w:pPr>
        <w:pStyle w:val="ListParagraph"/>
        <w:numPr>
          <w:ilvl w:val="0"/>
          <w:numId w:val="58"/>
        </w:numPr>
        <w:spacing w:after="120"/>
        <w:rPr>
          <w:sz w:val="22"/>
          <w:szCs w:val="22"/>
        </w:rPr>
      </w:pPr>
      <w:r>
        <w:rPr>
          <w:sz w:val="22"/>
          <w:szCs w:val="22"/>
        </w:rPr>
        <w:t>Disposal</w:t>
      </w:r>
    </w:p>
    <w:p w14:paraId="414A9161" w14:textId="4EAD050C" w:rsidR="00FD65B5" w:rsidRDefault="00FD65B5" w:rsidP="000A313A">
      <w:pPr>
        <w:pStyle w:val="ListParagraph"/>
        <w:numPr>
          <w:ilvl w:val="0"/>
          <w:numId w:val="58"/>
        </w:numPr>
        <w:spacing w:after="120"/>
        <w:rPr>
          <w:sz w:val="22"/>
          <w:szCs w:val="22"/>
        </w:rPr>
      </w:pPr>
      <w:r>
        <w:rPr>
          <w:sz w:val="22"/>
          <w:szCs w:val="22"/>
        </w:rPr>
        <w:t>Recordkeeping</w:t>
      </w:r>
    </w:p>
    <w:p w14:paraId="0F0B6ABF" w14:textId="4332D300" w:rsidR="00FD65B5" w:rsidRPr="00FD65B5" w:rsidRDefault="00FD65B5" w:rsidP="00FD65B5">
      <w:pPr>
        <w:spacing w:after="120"/>
        <w:rPr>
          <w:sz w:val="22"/>
          <w:szCs w:val="22"/>
        </w:rPr>
      </w:pPr>
      <w:r>
        <w:rPr>
          <w:sz w:val="22"/>
          <w:szCs w:val="22"/>
        </w:rPr>
        <w:t xml:space="preserve">Refer to </w:t>
      </w:r>
      <w:r w:rsidRPr="00FD65B5">
        <w:rPr>
          <w:b/>
          <w:bCs/>
          <w:i/>
          <w:iCs/>
          <w:sz w:val="22"/>
          <w:szCs w:val="22"/>
        </w:rPr>
        <w:t>Use of Controlled Substances in Research</w:t>
      </w:r>
      <w:r>
        <w:rPr>
          <w:b/>
          <w:bCs/>
          <w:i/>
          <w:iCs/>
          <w:sz w:val="22"/>
          <w:szCs w:val="22"/>
        </w:rPr>
        <w:t xml:space="preserve"> </w:t>
      </w:r>
      <w:r w:rsidRPr="00FD65B5">
        <w:rPr>
          <w:sz w:val="22"/>
          <w:szCs w:val="22"/>
        </w:rPr>
        <w:t>in PolicyStat</w:t>
      </w:r>
      <w:r>
        <w:rPr>
          <w:b/>
          <w:bCs/>
          <w:i/>
          <w:iCs/>
          <w:sz w:val="22"/>
          <w:szCs w:val="22"/>
        </w:rPr>
        <w:t xml:space="preserve"> </w:t>
      </w:r>
      <w:r>
        <w:rPr>
          <w:sz w:val="22"/>
          <w:szCs w:val="22"/>
        </w:rPr>
        <w:t>for additional details.</w:t>
      </w:r>
    </w:p>
    <w:p w14:paraId="3CD58CEC" w14:textId="77777777" w:rsidR="00DA572D" w:rsidRDefault="00DA572D" w:rsidP="0014205E">
      <w:pPr>
        <w:spacing w:after="120"/>
        <w:rPr>
          <w:b/>
          <w:bCs/>
          <w:sz w:val="22"/>
          <w:szCs w:val="22"/>
        </w:rPr>
      </w:pPr>
    </w:p>
    <w:p w14:paraId="3DC02596" w14:textId="77777777" w:rsidR="0088379F" w:rsidRDefault="0088379F">
      <w:pPr>
        <w:rPr>
          <w:b/>
          <w:bCs/>
          <w:sz w:val="28"/>
          <w:szCs w:val="28"/>
        </w:rPr>
      </w:pPr>
      <w:bookmarkStart w:id="61" w:name="S16PermitsandExportControls"/>
      <w:r>
        <w:rPr>
          <w:b/>
          <w:bCs/>
          <w:sz w:val="28"/>
          <w:szCs w:val="28"/>
        </w:rPr>
        <w:br w:type="page"/>
      </w:r>
    </w:p>
    <w:p w14:paraId="34C1DEB1" w14:textId="6FA8E759" w:rsidR="00BD4FA2" w:rsidRDefault="00BD4FA2" w:rsidP="0014205E">
      <w:pPr>
        <w:spacing w:after="120"/>
        <w:rPr>
          <w:b/>
          <w:bCs/>
          <w:sz w:val="28"/>
          <w:szCs w:val="28"/>
        </w:rPr>
      </w:pPr>
      <w:r>
        <w:rPr>
          <w:b/>
          <w:bCs/>
          <w:sz w:val="28"/>
          <w:szCs w:val="28"/>
        </w:rPr>
        <w:lastRenderedPageBreak/>
        <w:t>SECTION 1</w:t>
      </w:r>
      <w:r w:rsidR="0051064F">
        <w:rPr>
          <w:b/>
          <w:bCs/>
          <w:sz w:val="28"/>
          <w:szCs w:val="28"/>
        </w:rPr>
        <w:t>6</w:t>
      </w:r>
      <w:r>
        <w:rPr>
          <w:b/>
          <w:bCs/>
          <w:sz w:val="28"/>
          <w:szCs w:val="28"/>
        </w:rPr>
        <w:t>: PERMITS AND EXPORT CONTROLS</w:t>
      </w:r>
    </w:p>
    <w:bookmarkEnd w:id="61"/>
    <w:p w14:paraId="63F893A4" w14:textId="77777777" w:rsidR="00BD4FA2" w:rsidRDefault="00BD4FA2" w:rsidP="0014205E">
      <w:pPr>
        <w:spacing w:after="120"/>
        <w:rPr>
          <w:b/>
          <w:bCs/>
          <w:sz w:val="28"/>
          <w:szCs w:val="28"/>
        </w:rPr>
      </w:pPr>
    </w:p>
    <w:p w14:paraId="6E80945E" w14:textId="77777777" w:rsidR="00BD4FA2" w:rsidRDefault="00BD4FA2" w:rsidP="00BD4FA2">
      <w:pPr>
        <w:spacing w:after="120"/>
        <w:rPr>
          <w:sz w:val="22"/>
          <w:szCs w:val="22"/>
        </w:rPr>
      </w:pPr>
      <w:r w:rsidRPr="00BD4FA2">
        <w:rPr>
          <w:sz w:val="22"/>
          <w:szCs w:val="22"/>
        </w:rPr>
        <w:t>Research with certain infectious agents may require a permit. The Principal Investigator is responsible for</w:t>
      </w:r>
      <w:r>
        <w:rPr>
          <w:sz w:val="22"/>
          <w:szCs w:val="22"/>
        </w:rPr>
        <w:t xml:space="preserve"> </w:t>
      </w:r>
      <w:r w:rsidRPr="00BD4FA2">
        <w:rPr>
          <w:sz w:val="22"/>
          <w:szCs w:val="22"/>
        </w:rPr>
        <w:t xml:space="preserve">obtaining and maintaining valid permits and supplying a copy to the </w:t>
      </w:r>
      <w:r>
        <w:rPr>
          <w:sz w:val="22"/>
          <w:szCs w:val="22"/>
        </w:rPr>
        <w:t>LR</w:t>
      </w:r>
      <w:r w:rsidRPr="00BD4FA2">
        <w:rPr>
          <w:sz w:val="22"/>
          <w:szCs w:val="22"/>
        </w:rPr>
        <w:t>SO.</w:t>
      </w:r>
    </w:p>
    <w:p w14:paraId="2CFB77CB" w14:textId="77777777" w:rsidR="00BD4FA2" w:rsidRDefault="00BD4FA2" w:rsidP="000A313A">
      <w:pPr>
        <w:pStyle w:val="ListParagraph"/>
        <w:numPr>
          <w:ilvl w:val="0"/>
          <w:numId w:val="59"/>
        </w:numPr>
        <w:spacing w:after="120"/>
        <w:rPr>
          <w:b/>
          <w:bCs/>
          <w:sz w:val="22"/>
          <w:szCs w:val="22"/>
        </w:rPr>
      </w:pPr>
      <w:r w:rsidRPr="00BD4FA2">
        <w:rPr>
          <w:b/>
          <w:bCs/>
          <w:sz w:val="22"/>
          <w:szCs w:val="22"/>
        </w:rPr>
        <w:t>CDC</w:t>
      </w:r>
    </w:p>
    <w:p w14:paraId="69551395" w14:textId="6A7FDA6D" w:rsidR="00BD4FA2" w:rsidRPr="00BD4FA2" w:rsidRDefault="00BD4FA2" w:rsidP="00BD4FA2">
      <w:pPr>
        <w:pStyle w:val="ListParagraph"/>
        <w:spacing w:after="120"/>
        <w:ind w:left="360"/>
        <w:rPr>
          <w:sz w:val="22"/>
          <w:szCs w:val="22"/>
        </w:rPr>
      </w:pPr>
      <w:r w:rsidRPr="00BD4FA2">
        <w:rPr>
          <w:sz w:val="22"/>
          <w:szCs w:val="22"/>
        </w:rPr>
        <w:t>The Centers for Disease Control and Prevention’s Import Permit Program (IPP) regulates the importation of</w:t>
      </w:r>
      <w:r>
        <w:rPr>
          <w:sz w:val="22"/>
          <w:szCs w:val="22"/>
        </w:rPr>
        <w:t xml:space="preserve"> </w:t>
      </w:r>
      <w:r w:rsidRPr="00BD4FA2">
        <w:rPr>
          <w:sz w:val="22"/>
          <w:szCs w:val="22"/>
        </w:rPr>
        <w:t>infectious biological agents, infectious substances, and vectors of human disease into the United States. Prior to</w:t>
      </w:r>
      <w:r>
        <w:rPr>
          <w:sz w:val="22"/>
          <w:szCs w:val="22"/>
        </w:rPr>
        <w:t xml:space="preserve"> </w:t>
      </w:r>
      <w:r w:rsidRPr="00BD4FA2">
        <w:rPr>
          <w:sz w:val="22"/>
          <w:szCs w:val="22"/>
        </w:rPr>
        <w:t>issuing an import permit, IPP reviews all applications to ensure that entities have appropriate safety measures in</w:t>
      </w:r>
      <w:r>
        <w:rPr>
          <w:sz w:val="22"/>
          <w:szCs w:val="22"/>
        </w:rPr>
        <w:t xml:space="preserve"> </w:t>
      </w:r>
      <w:r w:rsidRPr="00BD4FA2">
        <w:rPr>
          <w:sz w:val="22"/>
          <w:szCs w:val="22"/>
        </w:rPr>
        <w:t>place for working safely with these imported materials. You can find more information regarding this</w:t>
      </w:r>
      <w:r>
        <w:rPr>
          <w:sz w:val="22"/>
          <w:szCs w:val="22"/>
        </w:rPr>
        <w:t xml:space="preserve"> </w:t>
      </w:r>
      <w:r w:rsidRPr="00BD4FA2">
        <w:rPr>
          <w:sz w:val="22"/>
          <w:szCs w:val="22"/>
        </w:rPr>
        <w:t xml:space="preserve">permitting program here: </w:t>
      </w:r>
      <w:hyperlink r:id="rId37" w:history="1">
        <w:r w:rsidRPr="008C3607">
          <w:rPr>
            <w:rStyle w:val="Hyperlink"/>
            <w:color w:val="215E99" w:themeColor="text2" w:themeTint="BF"/>
            <w:sz w:val="22"/>
            <w:szCs w:val="22"/>
          </w:rPr>
          <w:t>http://www.cdc.gov/od/eaipp/</w:t>
        </w:r>
      </w:hyperlink>
      <w:r w:rsidRPr="00BD4FA2">
        <w:rPr>
          <w:sz w:val="22"/>
          <w:szCs w:val="22"/>
        </w:rPr>
        <w:t>.</w:t>
      </w:r>
      <w:r>
        <w:rPr>
          <w:sz w:val="22"/>
          <w:szCs w:val="22"/>
        </w:rPr>
        <w:t xml:space="preserve"> </w:t>
      </w:r>
    </w:p>
    <w:p w14:paraId="7FDD23CD" w14:textId="11E16E79" w:rsidR="00BD4FA2" w:rsidRPr="00BD4FA2" w:rsidRDefault="00BD4FA2" w:rsidP="000A313A">
      <w:pPr>
        <w:pStyle w:val="ListParagraph"/>
        <w:numPr>
          <w:ilvl w:val="0"/>
          <w:numId w:val="59"/>
        </w:numPr>
        <w:spacing w:after="120"/>
        <w:rPr>
          <w:b/>
          <w:bCs/>
          <w:sz w:val="22"/>
          <w:szCs w:val="22"/>
        </w:rPr>
      </w:pPr>
      <w:r w:rsidRPr="00BD4FA2">
        <w:rPr>
          <w:b/>
          <w:bCs/>
          <w:sz w:val="22"/>
          <w:szCs w:val="22"/>
        </w:rPr>
        <w:t>USDA</w:t>
      </w:r>
      <w:r w:rsidRPr="00BD4FA2">
        <w:rPr>
          <w:rFonts w:ascii="Cambria Math" w:hAnsi="Cambria Math" w:cs="Cambria Math"/>
          <w:b/>
          <w:bCs/>
          <w:sz w:val="22"/>
          <w:szCs w:val="22"/>
        </w:rPr>
        <w:t>‐</w:t>
      </w:r>
      <w:r w:rsidRPr="00BD4FA2">
        <w:rPr>
          <w:b/>
          <w:bCs/>
          <w:sz w:val="22"/>
          <w:szCs w:val="22"/>
        </w:rPr>
        <w:t>APHIS</w:t>
      </w:r>
    </w:p>
    <w:p w14:paraId="72A8C83A" w14:textId="33055414" w:rsidR="00BD4FA2" w:rsidRPr="00BD4FA2" w:rsidRDefault="00BD4FA2" w:rsidP="00BD4FA2">
      <w:pPr>
        <w:spacing w:after="120"/>
        <w:ind w:left="360"/>
        <w:rPr>
          <w:sz w:val="22"/>
          <w:szCs w:val="22"/>
        </w:rPr>
      </w:pPr>
      <w:r w:rsidRPr="00BD4FA2">
        <w:rPr>
          <w:sz w:val="22"/>
          <w:szCs w:val="22"/>
        </w:rPr>
        <w:t>APHIS</w:t>
      </w:r>
      <w:r w:rsidR="00353560">
        <w:rPr>
          <w:sz w:val="22"/>
          <w:szCs w:val="22"/>
        </w:rPr>
        <w:t xml:space="preserve"> will</w:t>
      </w:r>
      <w:r w:rsidRPr="00BD4FA2">
        <w:rPr>
          <w:sz w:val="22"/>
          <w:szCs w:val="22"/>
        </w:rPr>
        <w:t xml:space="preserve"> issue permits for the import, transit and release of regulated animals, animal products, veterinary</w:t>
      </w:r>
      <w:r>
        <w:rPr>
          <w:sz w:val="22"/>
          <w:szCs w:val="22"/>
        </w:rPr>
        <w:t xml:space="preserve"> </w:t>
      </w:r>
      <w:r w:rsidRPr="00BD4FA2">
        <w:rPr>
          <w:sz w:val="22"/>
          <w:szCs w:val="22"/>
        </w:rPr>
        <w:t xml:space="preserve">biologics, plants, plant products, pests, organisms, soil, and genetically engineered organisms. </w:t>
      </w:r>
      <w:r>
        <w:rPr>
          <w:sz w:val="22"/>
          <w:szCs w:val="22"/>
        </w:rPr>
        <w:t>Additional information</w:t>
      </w:r>
      <w:r w:rsidRPr="00BD4FA2">
        <w:rPr>
          <w:sz w:val="22"/>
          <w:szCs w:val="22"/>
        </w:rPr>
        <w:t xml:space="preserve"> about this permitting program </w:t>
      </w:r>
      <w:r>
        <w:rPr>
          <w:sz w:val="22"/>
          <w:szCs w:val="22"/>
        </w:rPr>
        <w:t xml:space="preserve">is available </w:t>
      </w:r>
      <w:r w:rsidRPr="00BD4FA2">
        <w:rPr>
          <w:sz w:val="22"/>
          <w:szCs w:val="22"/>
        </w:rPr>
        <w:t>here:</w:t>
      </w:r>
      <w:r>
        <w:rPr>
          <w:sz w:val="22"/>
          <w:szCs w:val="22"/>
        </w:rPr>
        <w:t xml:space="preserve"> </w:t>
      </w:r>
      <w:hyperlink r:id="rId38" w:history="1">
        <w:r w:rsidRPr="008C3607">
          <w:rPr>
            <w:rStyle w:val="Hyperlink"/>
            <w:color w:val="215E99" w:themeColor="text2" w:themeTint="BF"/>
            <w:sz w:val="22"/>
            <w:szCs w:val="22"/>
          </w:rPr>
          <w:t>http://www.aphis.usda.gov/wps/portal/aphis/resources/permits</w:t>
        </w:r>
      </w:hyperlink>
      <w:r w:rsidRPr="00BD4FA2">
        <w:rPr>
          <w:sz w:val="22"/>
          <w:szCs w:val="22"/>
        </w:rPr>
        <w:t>.</w:t>
      </w:r>
      <w:r>
        <w:rPr>
          <w:sz w:val="22"/>
          <w:szCs w:val="22"/>
        </w:rPr>
        <w:t xml:space="preserve"> </w:t>
      </w:r>
    </w:p>
    <w:p w14:paraId="50163E13" w14:textId="6D1FCE9C" w:rsidR="00BD4FA2" w:rsidRPr="00BD4FA2" w:rsidRDefault="00BD4FA2" w:rsidP="000A313A">
      <w:pPr>
        <w:pStyle w:val="ListParagraph"/>
        <w:numPr>
          <w:ilvl w:val="0"/>
          <w:numId w:val="59"/>
        </w:numPr>
        <w:spacing w:after="120"/>
        <w:rPr>
          <w:b/>
          <w:bCs/>
          <w:sz w:val="22"/>
          <w:szCs w:val="22"/>
        </w:rPr>
      </w:pPr>
      <w:r w:rsidRPr="00BD4FA2">
        <w:rPr>
          <w:b/>
          <w:bCs/>
          <w:sz w:val="22"/>
          <w:szCs w:val="22"/>
        </w:rPr>
        <w:t>Fish &amp; Wildlife Service and National Marine Fisheries Service</w:t>
      </w:r>
    </w:p>
    <w:p w14:paraId="562084B1" w14:textId="59FE9D6A" w:rsidR="00BD4FA2" w:rsidRPr="00BD4FA2" w:rsidRDefault="00BD4FA2" w:rsidP="00BD4FA2">
      <w:pPr>
        <w:spacing w:after="120"/>
        <w:ind w:left="360"/>
        <w:rPr>
          <w:sz w:val="22"/>
          <w:szCs w:val="22"/>
        </w:rPr>
      </w:pPr>
      <w:r w:rsidRPr="00BD4FA2">
        <w:rPr>
          <w:sz w:val="22"/>
          <w:szCs w:val="22"/>
        </w:rPr>
        <w:t>Fish and Wildlife Service permits are required for importing marine mammals, certain fish, and certain live</w:t>
      </w:r>
      <w:r>
        <w:rPr>
          <w:sz w:val="22"/>
          <w:szCs w:val="22"/>
        </w:rPr>
        <w:t xml:space="preserve"> </w:t>
      </w:r>
      <w:r w:rsidRPr="00BD4FA2">
        <w:rPr>
          <w:sz w:val="22"/>
          <w:szCs w:val="22"/>
        </w:rPr>
        <w:t xml:space="preserve">animals, including bats. </w:t>
      </w:r>
    </w:p>
    <w:p w14:paraId="388F56B1" w14:textId="77777777" w:rsidR="00BD4FA2" w:rsidRPr="00BD4FA2" w:rsidRDefault="00BD4FA2" w:rsidP="00BD4FA2">
      <w:pPr>
        <w:spacing w:after="120"/>
        <w:rPr>
          <w:sz w:val="22"/>
          <w:szCs w:val="22"/>
        </w:rPr>
      </w:pPr>
      <w:r w:rsidRPr="00BD4FA2">
        <w:rPr>
          <w:sz w:val="22"/>
          <w:szCs w:val="22"/>
        </w:rPr>
        <w:t>Contact information:</w:t>
      </w:r>
    </w:p>
    <w:p w14:paraId="00895A65" w14:textId="77777777" w:rsidR="00BD4FA2" w:rsidRPr="00BD4FA2" w:rsidRDefault="00BD4FA2" w:rsidP="000A313A">
      <w:pPr>
        <w:pStyle w:val="ListParagraph"/>
        <w:numPr>
          <w:ilvl w:val="0"/>
          <w:numId w:val="60"/>
        </w:numPr>
        <w:spacing w:after="120"/>
        <w:rPr>
          <w:sz w:val="22"/>
          <w:szCs w:val="22"/>
        </w:rPr>
      </w:pPr>
      <w:r w:rsidRPr="00BD4FA2">
        <w:rPr>
          <w:sz w:val="22"/>
          <w:szCs w:val="22"/>
        </w:rPr>
        <w:t>Call 1-800-344-WILD for further information.</w:t>
      </w:r>
    </w:p>
    <w:p w14:paraId="7630AFAA" w14:textId="5A514725" w:rsidR="00BD4FA2" w:rsidRDefault="00BD4FA2" w:rsidP="000A313A">
      <w:pPr>
        <w:pStyle w:val="ListParagraph"/>
        <w:numPr>
          <w:ilvl w:val="0"/>
          <w:numId w:val="60"/>
        </w:numPr>
        <w:spacing w:after="120"/>
        <w:rPr>
          <w:sz w:val="22"/>
          <w:szCs w:val="22"/>
        </w:rPr>
      </w:pPr>
      <w:r w:rsidRPr="00BD4FA2">
        <w:rPr>
          <w:sz w:val="22"/>
          <w:szCs w:val="22"/>
        </w:rPr>
        <w:t xml:space="preserve">Website: </w:t>
      </w:r>
      <w:hyperlink r:id="rId39" w:history="1">
        <w:r w:rsidRPr="008C3607">
          <w:rPr>
            <w:rStyle w:val="Hyperlink"/>
            <w:color w:val="215E99" w:themeColor="text2" w:themeTint="BF"/>
            <w:sz w:val="22"/>
            <w:szCs w:val="22"/>
          </w:rPr>
          <w:t>http://www.fws.gov/permits/ImportExport/ImportExport.shtml</w:t>
        </w:r>
      </w:hyperlink>
    </w:p>
    <w:p w14:paraId="4CF8B2AC" w14:textId="4089B6AC" w:rsidR="00BD4FA2" w:rsidRPr="00BD4FA2" w:rsidRDefault="00BD4FA2" w:rsidP="000A313A">
      <w:pPr>
        <w:pStyle w:val="ListParagraph"/>
        <w:numPr>
          <w:ilvl w:val="0"/>
          <w:numId w:val="60"/>
        </w:numPr>
        <w:spacing w:after="120"/>
        <w:rPr>
          <w:sz w:val="22"/>
          <w:szCs w:val="22"/>
        </w:rPr>
      </w:pPr>
      <w:r w:rsidRPr="00BD4FA2">
        <w:rPr>
          <w:sz w:val="22"/>
          <w:szCs w:val="22"/>
        </w:rPr>
        <w:t>Permit Division, Office of Protected Resources, National Marine Fisheries Service 301-713-2355 or 713-2289 and/or Fish and Wildlife Service, Office of Management Authority 703-358-2104.</w:t>
      </w:r>
    </w:p>
    <w:p w14:paraId="494E1D70" w14:textId="42594821" w:rsidR="00BD4FA2" w:rsidRPr="00BD4FA2" w:rsidRDefault="00BD4FA2" w:rsidP="000A313A">
      <w:pPr>
        <w:pStyle w:val="ListParagraph"/>
        <w:numPr>
          <w:ilvl w:val="0"/>
          <w:numId w:val="59"/>
        </w:numPr>
        <w:spacing w:after="120"/>
        <w:rPr>
          <w:b/>
          <w:bCs/>
          <w:sz w:val="22"/>
          <w:szCs w:val="22"/>
        </w:rPr>
      </w:pPr>
      <w:r w:rsidRPr="00BD4FA2">
        <w:rPr>
          <w:b/>
          <w:bCs/>
          <w:sz w:val="22"/>
          <w:szCs w:val="22"/>
        </w:rPr>
        <w:t>Export Control</w:t>
      </w:r>
      <w:r w:rsidR="00440031">
        <w:rPr>
          <w:b/>
          <w:bCs/>
          <w:sz w:val="22"/>
          <w:szCs w:val="22"/>
        </w:rPr>
        <w:t xml:space="preserve"> Manager</w:t>
      </w:r>
    </w:p>
    <w:p w14:paraId="39E5ACE2" w14:textId="1C49DC1E" w:rsidR="00BD4FA2" w:rsidRPr="00BD4FA2" w:rsidRDefault="00BD4FA2" w:rsidP="00BD4FA2">
      <w:pPr>
        <w:spacing w:after="120"/>
        <w:ind w:left="360"/>
        <w:rPr>
          <w:sz w:val="22"/>
          <w:szCs w:val="22"/>
        </w:rPr>
      </w:pPr>
      <w:r w:rsidRPr="00BD4FA2">
        <w:rPr>
          <w:sz w:val="22"/>
          <w:szCs w:val="22"/>
        </w:rPr>
        <w:t>UND is committed to pursuing its mission in teaching, research, and service in a manner consistent with all U.S.</w:t>
      </w:r>
      <w:r>
        <w:rPr>
          <w:sz w:val="22"/>
          <w:szCs w:val="22"/>
        </w:rPr>
        <w:t xml:space="preserve"> </w:t>
      </w:r>
      <w:r w:rsidRPr="00BD4FA2">
        <w:rPr>
          <w:sz w:val="22"/>
          <w:szCs w:val="22"/>
        </w:rPr>
        <w:t>export laws and regulations. The export of etiologic agents of humans, animals, plants, and related materials</w:t>
      </w:r>
      <w:r>
        <w:rPr>
          <w:sz w:val="22"/>
          <w:szCs w:val="22"/>
        </w:rPr>
        <w:t xml:space="preserve"> </w:t>
      </w:r>
      <w:r w:rsidRPr="00BD4FA2">
        <w:rPr>
          <w:sz w:val="22"/>
          <w:szCs w:val="22"/>
        </w:rPr>
        <w:t>primarily is regulated by the U.S. Departments of Commerce, State, and Treasury. A wide variety of etiologic</w:t>
      </w:r>
      <w:r>
        <w:rPr>
          <w:sz w:val="22"/>
          <w:szCs w:val="22"/>
        </w:rPr>
        <w:t xml:space="preserve"> </w:t>
      </w:r>
      <w:r w:rsidRPr="00BD4FA2">
        <w:rPr>
          <w:sz w:val="22"/>
          <w:szCs w:val="22"/>
        </w:rPr>
        <w:t>agents of human, plant, and animal diseases, including genetic material and products that might be used for</w:t>
      </w:r>
      <w:r>
        <w:rPr>
          <w:sz w:val="22"/>
          <w:szCs w:val="22"/>
        </w:rPr>
        <w:t xml:space="preserve"> </w:t>
      </w:r>
      <w:r w:rsidRPr="00BD4FA2">
        <w:rPr>
          <w:sz w:val="22"/>
          <w:szCs w:val="22"/>
        </w:rPr>
        <w:t>culture or production of biological agents, will require an export license(s). Furthermore, physical export of</w:t>
      </w:r>
      <w:r>
        <w:rPr>
          <w:sz w:val="22"/>
          <w:szCs w:val="22"/>
        </w:rPr>
        <w:t xml:space="preserve"> </w:t>
      </w:r>
      <w:r w:rsidRPr="00BD4FA2">
        <w:rPr>
          <w:sz w:val="22"/>
          <w:szCs w:val="22"/>
        </w:rPr>
        <w:t>these agents to certain countries is prohibited. In addition, disclosing (including oral or visual 59 disclosure)</w:t>
      </w:r>
      <w:r>
        <w:rPr>
          <w:sz w:val="22"/>
          <w:szCs w:val="22"/>
        </w:rPr>
        <w:t xml:space="preserve"> </w:t>
      </w:r>
      <w:r w:rsidRPr="00BD4FA2">
        <w:rPr>
          <w:sz w:val="22"/>
          <w:szCs w:val="22"/>
        </w:rPr>
        <w:t>controlled information or technologies to a non</w:t>
      </w:r>
      <w:r w:rsidRPr="00BD4FA2">
        <w:rPr>
          <w:rFonts w:ascii="Cambria Math" w:hAnsi="Cambria Math" w:cs="Cambria Math"/>
          <w:sz w:val="22"/>
          <w:szCs w:val="22"/>
        </w:rPr>
        <w:t>‐</w:t>
      </w:r>
      <w:r w:rsidRPr="00BD4FA2">
        <w:rPr>
          <w:sz w:val="22"/>
          <w:szCs w:val="22"/>
        </w:rPr>
        <w:t>U.S. person in the U.S. (also known as a deemed export) or</w:t>
      </w:r>
      <w:r>
        <w:rPr>
          <w:sz w:val="22"/>
          <w:szCs w:val="22"/>
        </w:rPr>
        <w:t xml:space="preserve"> </w:t>
      </w:r>
      <w:r w:rsidRPr="00BD4FA2">
        <w:rPr>
          <w:sz w:val="22"/>
          <w:szCs w:val="22"/>
        </w:rPr>
        <w:t>abroad – and/or providing certain technical assistance, training, or other defense services for/on behalf of a non</w:t>
      </w:r>
      <w:r w:rsidRPr="00BD4FA2">
        <w:rPr>
          <w:rFonts w:ascii="Cambria Math" w:hAnsi="Cambria Math" w:cs="Cambria Math"/>
          <w:sz w:val="22"/>
          <w:szCs w:val="22"/>
        </w:rPr>
        <w:t>‐</w:t>
      </w:r>
      <w:r w:rsidRPr="00BD4FA2">
        <w:rPr>
          <w:sz w:val="22"/>
          <w:szCs w:val="22"/>
        </w:rPr>
        <w:t>U.S. person, whether in the U.S (deemed export) or abroad – also may implicate export control laws and</w:t>
      </w:r>
      <w:r>
        <w:rPr>
          <w:sz w:val="22"/>
          <w:szCs w:val="22"/>
        </w:rPr>
        <w:t xml:space="preserve"> </w:t>
      </w:r>
      <w:r w:rsidRPr="00BD4FA2">
        <w:rPr>
          <w:sz w:val="22"/>
          <w:szCs w:val="22"/>
        </w:rPr>
        <w:t xml:space="preserve">regulations. </w:t>
      </w:r>
      <w:r w:rsidR="00440031" w:rsidRPr="00440031">
        <w:rPr>
          <w:sz w:val="22"/>
          <w:szCs w:val="22"/>
        </w:rPr>
        <w:t>Prior to sharing export-</w:t>
      </w:r>
      <w:r w:rsidR="00440031" w:rsidRPr="00440031">
        <w:rPr>
          <w:sz w:val="22"/>
          <w:szCs w:val="22"/>
        </w:rPr>
        <w:lastRenderedPageBreak/>
        <w:t xml:space="preserve">controlled information or items with a non-US Person, an export control review is required. This review can be requested by contacting the Export Control Manager. </w:t>
      </w:r>
      <w:r w:rsidRPr="00BD4FA2">
        <w:rPr>
          <w:sz w:val="22"/>
          <w:szCs w:val="22"/>
        </w:rPr>
        <w:t>For more information on export compliance and biological agents, visit</w:t>
      </w:r>
      <w:r>
        <w:rPr>
          <w:sz w:val="22"/>
          <w:szCs w:val="22"/>
        </w:rPr>
        <w:t xml:space="preserve"> </w:t>
      </w:r>
      <w:hyperlink r:id="rId40" w:history="1">
        <w:r w:rsidRPr="008C3607">
          <w:rPr>
            <w:rStyle w:val="Hyperlink"/>
            <w:color w:val="215E99" w:themeColor="text2" w:themeTint="BF"/>
            <w:sz w:val="22"/>
            <w:szCs w:val="22"/>
          </w:rPr>
          <w:t>https://und.edu/research/resources/export-controls.cfm</w:t>
        </w:r>
      </w:hyperlink>
      <w:r>
        <w:rPr>
          <w:sz w:val="22"/>
          <w:szCs w:val="22"/>
        </w:rPr>
        <w:t xml:space="preserve"> </w:t>
      </w:r>
      <w:r w:rsidRPr="00BD4FA2">
        <w:rPr>
          <w:sz w:val="22"/>
          <w:szCs w:val="22"/>
        </w:rPr>
        <w:t xml:space="preserve">or contact UND’s Export Control </w:t>
      </w:r>
      <w:r w:rsidR="00440031">
        <w:rPr>
          <w:sz w:val="22"/>
          <w:szCs w:val="22"/>
        </w:rPr>
        <w:t>Manager</w:t>
      </w:r>
      <w:r w:rsidRPr="00BD4FA2">
        <w:rPr>
          <w:sz w:val="22"/>
          <w:szCs w:val="22"/>
        </w:rPr>
        <w:t xml:space="preserve"> at 701-777-4</w:t>
      </w:r>
      <w:r w:rsidR="00440031">
        <w:rPr>
          <w:sz w:val="22"/>
          <w:szCs w:val="22"/>
        </w:rPr>
        <w:t>152</w:t>
      </w:r>
      <w:r w:rsidRPr="00BD4FA2">
        <w:rPr>
          <w:sz w:val="22"/>
          <w:szCs w:val="22"/>
        </w:rPr>
        <w:t>.</w:t>
      </w:r>
    </w:p>
    <w:p w14:paraId="1047C456" w14:textId="77777777" w:rsidR="00BD4FA2" w:rsidRDefault="00BD4FA2" w:rsidP="00BD4FA2">
      <w:pPr>
        <w:spacing w:after="120"/>
        <w:rPr>
          <w:b/>
          <w:bCs/>
          <w:sz w:val="28"/>
          <w:szCs w:val="28"/>
        </w:rPr>
      </w:pPr>
    </w:p>
    <w:p w14:paraId="3C3274C6" w14:textId="70D39E89" w:rsidR="00BD4FA2" w:rsidRPr="00DA572D" w:rsidRDefault="00C342D2" w:rsidP="0014205E">
      <w:pPr>
        <w:spacing w:after="120"/>
        <w:rPr>
          <w:b/>
          <w:bCs/>
          <w:sz w:val="28"/>
          <w:szCs w:val="28"/>
        </w:rPr>
      </w:pPr>
      <w:bookmarkStart w:id="62" w:name="S17LabManual"/>
      <w:r w:rsidRPr="00DA572D">
        <w:rPr>
          <w:b/>
          <w:bCs/>
          <w:sz w:val="28"/>
          <w:szCs w:val="28"/>
        </w:rPr>
        <w:t>SECTION 1</w:t>
      </w:r>
      <w:r w:rsidR="0051064F">
        <w:rPr>
          <w:b/>
          <w:bCs/>
          <w:sz w:val="28"/>
          <w:szCs w:val="28"/>
        </w:rPr>
        <w:t>7</w:t>
      </w:r>
      <w:r w:rsidRPr="00DA572D">
        <w:rPr>
          <w:b/>
          <w:bCs/>
          <w:sz w:val="28"/>
          <w:szCs w:val="28"/>
        </w:rPr>
        <w:t>: LAB SAFETY BINDER DOCUMENTS</w:t>
      </w:r>
    </w:p>
    <w:bookmarkEnd w:id="62"/>
    <w:p w14:paraId="58964DC9" w14:textId="77777777" w:rsidR="00DA572D" w:rsidRDefault="00DA572D" w:rsidP="003A7098">
      <w:pPr>
        <w:spacing w:after="120"/>
        <w:rPr>
          <w:sz w:val="22"/>
          <w:szCs w:val="22"/>
        </w:rPr>
      </w:pPr>
    </w:p>
    <w:p w14:paraId="34E8C1D9" w14:textId="42709562" w:rsidR="0051064F" w:rsidRDefault="0051064F" w:rsidP="000A313A">
      <w:pPr>
        <w:pStyle w:val="ListParagraph"/>
        <w:numPr>
          <w:ilvl w:val="0"/>
          <w:numId w:val="61"/>
        </w:numPr>
        <w:spacing w:after="120"/>
        <w:rPr>
          <w:sz w:val="22"/>
          <w:szCs w:val="22"/>
        </w:rPr>
      </w:pPr>
      <w:r>
        <w:rPr>
          <w:sz w:val="22"/>
          <w:szCs w:val="22"/>
        </w:rPr>
        <w:t xml:space="preserve">UND </w:t>
      </w:r>
      <w:r w:rsidR="003A4E53">
        <w:rPr>
          <w:sz w:val="22"/>
          <w:szCs w:val="22"/>
        </w:rPr>
        <w:t xml:space="preserve">Institutional </w:t>
      </w:r>
      <w:r>
        <w:rPr>
          <w:sz w:val="22"/>
          <w:szCs w:val="22"/>
        </w:rPr>
        <w:t>Biosafety Manual</w:t>
      </w:r>
    </w:p>
    <w:p w14:paraId="420D0818" w14:textId="62CB8636" w:rsidR="003A7098" w:rsidRDefault="00155C86" w:rsidP="000A313A">
      <w:pPr>
        <w:pStyle w:val="ListParagraph"/>
        <w:numPr>
          <w:ilvl w:val="0"/>
          <w:numId w:val="61"/>
        </w:numPr>
        <w:spacing w:after="120"/>
        <w:rPr>
          <w:sz w:val="22"/>
          <w:szCs w:val="22"/>
        </w:rPr>
      </w:pPr>
      <w:r>
        <w:rPr>
          <w:sz w:val="22"/>
          <w:szCs w:val="22"/>
        </w:rPr>
        <w:t>Roster of Approved Laboratory Personnel</w:t>
      </w:r>
    </w:p>
    <w:p w14:paraId="2E6DCCA1" w14:textId="0A6C655A" w:rsidR="00155C86" w:rsidRDefault="00155C86" w:rsidP="000A313A">
      <w:pPr>
        <w:pStyle w:val="ListParagraph"/>
        <w:numPr>
          <w:ilvl w:val="0"/>
          <w:numId w:val="61"/>
        </w:numPr>
        <w:spacing w:after="120"/>
        <w:rPr>
          <w:sz w:val="22"/>
          <w:szCs w:val="22"/>
        </w:rPr>
      </w:pPr>
      <w:r>
        <w:rPr>
          <w:sz w:val="22"/>
          <w:szCs w:val="22"/>
        </w:rPr>
        <w:t>Lab Specific Safety Manual</w:t>
      </w:r>
    </w:p>
    <w:p w14:paraId="0AB4E6D0" w14:textId="7F993988" w:rsidR="00155C86" w:rsidRDefault="00155C86" w:rsidP="000A313A">
      <w:pPr>
        <w:pStyle w:val="ListParagraph"/>
        <w:numPr>
          <w:ilvl w:val="0"/>
          <w:numId w:val="61"/>
        </w:numPr>
        <w:spacing w:after="120"/>
        <w:rPr>
          <w:sz w:val="22"/>
          <w:szCs w:val="22"/>
        </w:rPr>
      </w:pPr>
      <w:r>
        <w:rPr>
          <w:sz w:val="22"/>
          <w:szCs w:val="22"/>
        </w:rPr>
        <w:t>Standard Operating Procedures</w:t>
      </w:r>
    </w:p>
    <w:p w14:paraId="692F11F6" w14:textId="561BD3B7" w:rsidR="00155C86" w:rsidRDefault="00155C86" w:rsidP="000A313A">
      <w:pPr>
        <w:pStyle w:val="ListParagraph"/>
        <w:numPr>
          <w:ilvl w:val="0"/>
          <w:numId w:val="61"/>
        </w:numPr>
        <w:spacing w:after="120"/>
        <w:rPr>
          <w:sz w:val="22"/>
          <w:szCs w:val="22"/>
        </w:rPr>
      </w:pPr>
      <w:r>
        <w:rPr>
          <w:sz w:val="22"/>
          <w:szCs w:val="22"/>
        </w:rPr>
        <w:t>Safety Data Sheets</w:t>
      </w:r>
    </w:p>
    <w:p w14:paraId="43782EB8" w14:textId="2150BF60" w:rsidR="00155C86" w:rsidRDefault="00155C86" w:rsidP="000A313A">
      <w:pPr>
        <w:pStyle w:val="ListParagraph"/>
        <w:numPr>
          <w:ilvl w:val="0"/>
          <w:numId w:val="61"/>
        </w:numPr>
        <w:spacing w:after="120"/>
        <w:rPr>
          <w:sz w:val="22"/>
          <w:szCs w:val="22"/>
        </w:rPr>
      </w:pPr>
      <w:r>
        <w:rPr>
          <w:sz w:val="22"/>
          <w:szCs w:val="22"/>
        </w:rPr>
        <w:t>Exposure Control Plan</w:t>
      </w:r>
    </w:p>
    <w:p w14:paraId="7F13D49F" w14:textId="77777777" w:rsidR="003A4E53" w:rsidRDefault="003A4E53" w:rsidP="003A4E53">
      <w:pPr>
        <w:spacing w:after="120"/>
        <w:rPr>
          <w:sz w:val="22"/>
          <w:szCs w:val="22"/>
        </w:rPr>
      </w:pPr>
    </w:p>
    <w:p w14:paraId="66421DC5" w14:textId="117CF2B6" w:rsidR="003A4E53" w:rsidRDefault="003A4E53">
      <w:pPr>
        <w:rPr>
          <w:sz w:val="22"/>
          <w:szCs w:val="22"/>
        </w:rPr>
      </w:pPr>
      <w:r>
        <w:rPr>
          <w:sz w:val="22"/>
          <w:szCs w:val="22"/>
        </w:rPr>
        <w:br w:type="page"/>
      </w:r>
    </w:p>
    <w:p w14:paraId="7626C42E" w14:textId="7F0FB052" w:rsidR="003A4E53" w:rsidRDefault="003A4E53" w:rsidP="003A4E53">
      <w:pPr>
        <w:spacing w:after="120"/>
        <w:rPr>
          <w:sz w:val="22"/>
          <w:szCs w:val="22"/>
        </w:rPr>
        <w:sectPr w:rsidR="003A4E53" w:rsidSect="0050730A">
          <w:headerReference w:type="default" r:id="rId41"/>
          <w:footerReference w:type="default" r:id="rId42"/>
          <w:pgSz w:w="12240" w:h="15840"/>
          <w:pgMar w:top="1440" w:right="1440" w:bottom="1440" w:left="1440" w:header="720" w:footer="720" w:gutter="0"/>
          <w:cols w:space="720"/>
          <w:titlePg/>
          <w:docGrid w:linePitch="360"/>
        </w:sectPr>
      </w:pPr>
    </w:p>
    <w:p w14:paraId="29FC34BC" w14:textId="55AD8FD7" w:rsidR="003A4E53" w:rsidRPr="00396489" w:rsidRDefault="003A4E53" w:rsidP="003A4E53">
      <w:pPr>
        <w:spacing w:after="120"/>
        <w:rPr>
          <w:sz w:val="22"/>
          <w:szCs w:val="22"/>
        </w:rPr>
      </w:pPr>
      <w:r w:rsidRPr="00396489">
        <w:rPr>
          <w:sz w:val="22"/>
          <w:szCs w:val="22"/>
        </w:rPr>
        <w:lastRenderedPageBreak/>
        <w:t xml:space="preserve">APPENDIX </w:t>
      </w:r>
      <w:r w:rsidR="006D6FF9">
        <w:rPr>
          <w:sz w:val="22"/>
          <w:szCs w:val="22"/>
        </w:rPr>
        <w:t>A</w:t>
      </w:r>
      <w:r w:rsidRPr="00396489">
        <w:rPr>
          <w:sz w:val="22"/>
          <w:szCs w:val="22"/>
        </w:rPr>
        <w:t>. W</w:t>
      </w:r>
      <w:r w:rsidR="00396489">
        <w:rPr>
          <w:sz w:val="22"/>
          <w:szCs w:val="22"/>
        </w:rPr>
        <w:t>aste</w:t>
      </w:r>
      <w:r w:rsidRPr="00396489">
        <w:rPr>
          <w:sz w:val="22"/>
          <w:szCs w:val="22"/>
        </w:rPr>
        <w:t xml:space="preserve"> S</w:t>
      </w:r>
      <w:r w:rsidR="00396489">
        <w:rPr>
          <w:sz w:val="22"/>
          <w:szCs w:val="22"/>
        </w:rPr>
        <w:t>treams</w:t>
      </w:r>
      <w:r w:rsidRPr="00396489">
        <w:rPr>
          <w:sz w:val="22"/>
          <w:szCs w:val="22"/>
        </w:rPr>
        <w:t xml:space="preserve"> D</w:t>
      </w:r>
      <w:r w:rsidR="00396489">
        <w:rPr>
          <w:sz w:val="22"/>
          <w:szCs w:val="22"/>
        </w:rPr>
        <w:t>isposal Guidelines</w:t>
      </w:r>
    </w:p>
    <w:p w14:paraId="0177EDB6" w14:textId="1F9ECBC6" w:rsidR="003A4E53" w:rsidRDefault="003A4E53" w:rsidP="003A4E53">
      <w:pPr>
        <w:spacing w:after="120"/>
        <w:rPr>
          <w:sz w:val="22"/>
          <w:szCs w:val="22"/>
        </w:rPr>
      </w:pPr>
      <w:r>
        <w:rPr>
          <w:noProof/>
          <w:sz w:val="22"/>
          <w:szCs w:val="22"/>
        </w:rPr>
        <w:drawing>
          <wp:inline distT="0" distB="0" distL="0" distR="0" wp14:anchorId="590E4E70" wp14:editId="6E3919C7">
            <wp:extent cx="9197512" cy="5857875"/>
            <wp:effectExtent l="0" t="0" r="3810" b="0"/>
            <wp:docPr id="1778399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210641" cy="5866237"/>
                    </a:xfrm>
                    <a:prstGeom prst="rect">
                      <a:avLst/>
                    </a:prstGeom>
                    <a:noFill/>
                  </pic:spPr>
                </pic:pic>
              </a:graphicData>
            </a:graphic>
          </wp:inline>
        </w:drawing>
      </w:r>
    </w:p>
    <w:p w14:paraId="6011F417" w14:textId="77777777" w:rsidR="00396489" w:rsidRDefault="00396489" w:rsidP="003A4E53">
      <w:pPr>
        <w:spacing w:after="120"/>
        <w:rPr>
          <w:sz w:val="22"/>
          <w:szCs w:val="22"/>
        </w:rPr>
      </w:pPr>
    </w:p>
    <w:p w14:paraId="18EBA42A" w14:textId="585539D1" w:rsidR="00396489" w:rsidRDefault="00396489" w:rsidP="003A4E53">
      <w:pPr>
        <w:spacing w:after="120"/>
        <w:rPr>
          <w:sz w:val="22"/>
          <w:szCs w:val="22"/>
        </w:rPr>
      </w:pPr>
      <w:r>
        <w:rPr>
          <w:sz w:val="22"/>
          <w:szCs w:val="22"/>
        </w:rPr>
        <w:lastRenderedPageBreak/>
        <w:t xml:space="preserve">APPENDIX </w:t>
      </w:r>
      <w:r w:rsidR="006D6FF9">
        <w:rPr>
          <w:sz w:val="22"/>
          <w:szCs w:val="22"/>
        </w:rPr>
        <w:t>B</w:t>
      </w:r>
      <w:r>
        <w:rPr>
          <w:sz w:val="22"/>
          <w:szCs w:val="22"/>
        </w:rPr>
        <w:t>. Summary of Disinfectants used in Biological Research</w:t>
      </w:r>
    </w:p>
    <w:p w14:paraId="0A815222" w14:textId="7BA1B293" w:rsidR="00396489" w:rsidRPr="003A4E53" w:rsidRDefault="00396489" w:rsidP="00396489">
      <w:pPr>
        <w:spacing w:after="120"/>
        <w:jc w:val="center"/>
        <w:rPr>
          <w:sz w:val="22"/>
          <w:szCs w:val="22"/>
        </w:rPr>
      </w:pPr>
      <w:r w:rsidRPr="00396489">
        <w:rPr>
          <w:noProof/>
          <w:sz w:val="22"/>
          <w:szCs w:val="22"/>
        </w:rPr>
        <w:drawing>
          <wp:inline distT="0" distB="0" distL="0" distR="0" wp14:anchorId="054C9FB3" wp14:editId="2F9301F8">
            <wp:extent cx="9128448" cy="5800725"/>
            <wp:effectExtent l="0" t="0" r="0" b="0"/>
            <wp:docPr id="1213863624" name="Picture 1" descr="A chart of different types of disinfect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63624" name="Picture 1" descr="A chart of different types of disinfectant&#10;&#10;AI-generated content may be incorrect."/>
                    <pic:cNvPicPr/>
                  </pic:nvPicPr>
                  <pic:blipFill>
                    <a:blip r:embed="rId44"/>
                    <a:stretch>
                      <a:fillRect/>
                    </a:stretch>
                  </pic:blipFill>
                  <pic:spPr>
                    <a:xfrm>
                      <a:off x="0" y="0"/>
                      <a:ext cx="9139042" cy="5807457"/>
                    </a:xfrm>
                    <a:prstGeom prst="rect">
                      <a:avLst/>
                    </a:prstGeom>
                  </pic:spPr>
                </pic:pic>
              </a:graphicData>
            </a:graphic>
          </wp:inline>
        </w:drawing>
      </w:r>
    </w:p>
    <w:sectPr w:rsidR="00396489" w:rsidRPr="003A4E53" w:rsidSect="003A4E53">
      <w:pgSz w:w="15840" w:h="12240" w:orient="landscape"/>
      <w:pgMar w:top="1008"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EBD7" w14:textId="77777777" w:rsidR="0050730A" w:rsidRDefault="0050730A" w:rsidP="0050730A">
      <w:pPr>
        <w:spacing w:after="0" w:line="240" w:lineRule="auto"/>
      </w:pPr>
      <w:r>
        <w:separator/>
      </w:r>
    </w:p>
  </w:endnote>
  <w:endnote w:type="continuationSeparator" w:id="0">
    <w:p w14:paraId="651B42C2" w14:textId="77777777" w:rsidR="0050730A" w:rsidRDefault="0050730A" w:rsidP="0050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271216"/>
      <w:docPartObj>
        <w:docPartGallery w:val="Page Numbers (Bottom of Page)"/>
        <w:docPartUnique/>
      </w:docPartObj>
    </w:sdtPr>
    <w:sdtEndPr>
      <w:rPr>
        <w:noProof/>
      </w:rPr>
    </w:sdtEndPr>
    <w:sdtContent>
      <w:p w14:paraId="19318DD4" w14:textId="4BAF032E" w:rsidR="00337E9C" w:rsidRDefault="00337E9C">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t xml:space="preserve">UND </w:t>
        </w:r>
        <w:r w:rsidR="00F260C3">
          <w:rPr>
            <w:noProof/>
          </w:rPr>
          <w:t xml:space="preserve">Institutional </w:t>
        </w:r>
        <w:r>
          <w:rPr>
            <w:noProof/>
          </w:rPr>
          <w:t>Biosafety Manual</w:t>
        </w:r>
        <w:r w:rsidR="003A46BC">
          <w:rPr>
            <w:noProof/>
          </w:rPr>
          <w:t xml:space="preserve"> </w:t>
        </w:r>
        <w:r w:rsidR="003A46BC">
          <w:rPr>
            <w:noProof/>
          </w:rPr>
          <w:tab/>
        </w:r>
        <w:r w:rsidR="00F260C3">
          <w:rPr>
            <w:noProof/>
          </w:rPr>
          <w:t>7</w:t>
        </w:r>
        <w:r w:rsidR="003A46BC">
          <w:rPr>
            <w:noProof/>
          </w:rPr>
          <w:t>/202</w:t>
        </w:r>
        <w:r w:rsidR="00660D4F">
          <w:rPr>
            <w:noProof/>
          </w:rPr>
          <w:t>5</w:t>
        </w:r>
      </w:p>
    </w:sdtContent>
  </w:sdt>
  <w:p w14:paraId="74ED835F" w14:textId="1EE59D83" w:rsidR="0050730A" w:rsidRDefault="0050730A" w:rsidP="005073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64D0" w14:textId="77777777" w:rsidR="0050730A" w:rsidRDefault="0050730A" w:rsidP="0050730A">
      <w:pPr>
        <w:spacing w:after="0" w:line="240" w:lineRule="auto"/>
      </w:pPr>
      <w:r>
        <w:separator/>
      </w:r>
    </w:p>
  </w:footnote>
  <w:footnote w:type="continuationSeparator" w:id="0">
    <w:p w14:paraId="2D233EA2" w14:textId="77777777" w:rsidR="0050730A" w:rsidRDefault="0050730A" w:rsidP="0050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DEC2" w14:textId="1F2D670E" w:rsidR="003A46BC" w:rsidRDefault="003A46B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B1"/>
    <w:multiLevelType w:val="hybridMultilevel"/>
    <w:tmpl w:val="2818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0419"/>
    <w:multiLevelType w:val="hybridMultilevel"/>
    <w:tmpl w:val="36DABF88"/>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44881"/>
    <w:multiLevelType w:val="hybridMultilevel"/>
    <w:tmpl w:val="A43A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841A9"/>
    <w:multiLevelType w:val="hybridMultilevel"/>
    <w:tmpl w:val="4EEA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41D20"/>
    <w:multiLevelType w:val="hybridMultilevel"/>
    <w:tmpl w:val="F136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760FA"/>
    <w:multiLevelType w:val="hybridMultilevel"/>
    <w:tmpl w:val="2E524812"/>
    <w:lvl w:ilvl="0" w:tplc="C16AB4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2461F1"/>
    <w:multiLevelType w:val="hybridMultilevel"/>
    <w:tmpl w:val="5846DB22"/>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66758"/>
    <w:multiLevelType w:val="hybridMultilevel"/>
    <w:tmpl w:val="DDDA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A437E"/>
    <w:multiLevelType w:val="hybridMultilevel"/>
    <w:tmpl w:val="EF1C8A04"/>
    <w:lvl w:ilvl="0" w:tplc="536E3700">
      <w:start w:val="5"/>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561B05"/>
    <w:multiLevelType w:val="hybridMultilevel"/>
    <w:tmpl w:val="0EE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266CD"/>
    <w:multiLevelType w:val="hybridMultilevel"/>
    <w:tmpl w:val="1098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A2E19"/>
    <w:multiLevelType w:val="hybridMultilevel"/>
    <w:tmpl w:val="52D8C0E0"/>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6110D"/>
    <w:multiLevelType w:val="hybridMultilevel"/>
    <w:tmpl w:val="850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3086F"/>
    <w:multiLevelType w:val="hybridMultilevel"/>
    <w:tmpl w:val="86608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AE1720"/>
    <w:multiLevelType w:val="hybridMultilevel"/>
    <w:tmpl w:val="293EB20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620144"/>
    <w:multiLevelType w:val="hybridMultilevel"/>
    <w:tmpl w:val="805CB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B5701"/>
    <w:multiLevelType w:val="hybridMultilevel"/>
    <w:tmpl w:val="21367216"/>
    <w:lvl w:ilvl="0" w:tplc="C16AB4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976388"/>
    <w:multiLevelType w:val="hybridMultilevel"/>
    <w:tmpl w:val="2FB6D5F0"/>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75511"/>
    <w:multiLevelType w:val="hybridMultilevel"/>
    <w:tmpl w:val="43FE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577F67"/>
    <w:multiLevelType w:val="hybridMultilevel"/>
    <w:tmpl w:val="B044C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9A05BF"/>
    <w:multiLevelType w:val="hybridMultilevel"/>
    <w:tmpl w:val="5DA4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62416"/>
    <w:multiLevelType w:val="hybridMultilevel"/>
    <w:tmpl w:val="DFB48DE8"/>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CC4CD3"/>
    <w:multiLevelType w:val="hybridMultilevel"/>
    <w:tmpl w:val="1E06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78664E"/>
    <w:multiLevelType w:val="hybridMultilevel"/>
    <w:tmpl w:val="3CBC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D6563F"/>
    <w:multiLevelType w:val="hybridMultilevel"/>
    <w:tmpl w:val="E462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726CBB"/>
    <w:multiLevelType w:val="hybridMultilevel"/>
    <w:tmpl w:val="35C643E6"/>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C2690F"/>
    <w:multiLevelType w:val="hybridMultilevel"/>
    <w:tmpl w:val="797E7226"/>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A11A3B"/>
    <w:multiLevelType w:val="hybridMultilevel"/>
    <w:tmpl w:val="EF56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E10AD2"/>
    <w:multiLevelType w:val="hybridMultilevel"/>
    <w:tmpl w:val="844A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05652A"/>
    <w:multiLevelType w:val="hybridMultilevel"/>
    <w:tmpl w:val="D5384B4A"/>
    <w:lvl w:ilvl="0" w:tplc="536E3700">
      <w:start w:val="5"/>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D403344"/>
    <w:multiLevelType w:val="hybridMultilevel"/>
    <w:tmpl w:val="0F72E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E0444E"/>
    <w:multiLevelType w:val="hybridMultilevel"/>
    <w:tmpl w:val="730404C6"/>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39274F"/>
    <w:multiLevelType w:val="hybridMultilevel"/>
    <w:tmpl w:val="545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4B40B6"/>
    <w:multiLevelType w:val="hybridMultilevel"/>
    <w:tmpl w:val="6C461D7C"/>
    <w:lvl w:ilvl="0" w:tplc="536E3700">
      <w:start w:val="5"/>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15A74C1"/>
    <w:multiLevelType w:val="hybridMultilevel"/>
    <w:tmpl w:val="BDD89E0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17F0DC6"/>
    <w:multiLevelType w:val="hybridMultilevel"/>
    <w:tmpl w:val="3BC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832691"/>
    <w:multiLevelType w:val="hybridMultilevel"/>
    <w:tmpl w:val="2C4EF376"/>
    <w:lvl w:ilvl="0" w:tplc="536E3700">
      <w:start w:val="5"/>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3A620A1"/>
    <w:multiLevelType w:val="hybridMultilevel"/>
    <w:tmpl w:val="94D67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420AC6"/>
    <w:multiLevelType w:val="hybridMultilevel"/>
    <w:tmpl w:val="F7EEF258"/>
    <w:lvl w:ilvl="0" w:tplc="536E3700">
      <w:start w:val="5"/>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741309"/>
    <w:multiLevelType w:val="hybridMultilevel"/>
    <w:tmpl w:val="09321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01345A"/>
    <w:multiLevelType w:val="hybridMultilevel"/>
    <w:tmpl w:val="48EE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34379D"/>
    <w:multiLevelType w:val="hybridMultilevel"/>
    <w:tmpl w:val="A6C0A9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7130FBB"/>
    <w:multiLevelType w:val="hybridMultilevel"/>
    <w:tmpl w:val="33C44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403902"/>
    <w:multiLevelType w:val="hybridMultilevel"/>
    <w:tmpl w:val="9CC4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122DE5"/>
    <w:multiLevelType w:val="hybridMultilevel"/>
    <w:tmpl w:val="D398007E"/>
    <w:lvl w:ilvl="0" w:tplc="536E3700">
      <w:start w:val="5"/>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727F15"/>
    <w:multiLevelType w:val="hybridMultilevel"/>
    <w:tmpl w:val="26946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E784F27"/>
    <w:multiLevelType w:val="hybridMultilevel"/>
    <w:tmpl w:val="C512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A20A6D"/>
    <w:multiLevelType w:val="hybridMultilevel"/>
    <w:tmpl w:val="F30A91C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02E66E3"/>
    <w:multiLevelType w:val="hybridMultilevel"/>
    <w:tmpl w:val="37261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CC0F43"/>
    <w:multiLevelType w:val="hybridMultilevel"/>
    <w:tmpl w:val="66B6AD8C"/>
    <w:lvl w:ilvl="0" w:tplc="536E3700">
      <w:start w:val="5"/>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31073C1"/>
    <w:multiLevelType w:val="hybridMultilevel"/>
    <w:tmpl w:val="06A4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9E1CBE"/>
    <w:multiLevelType w:val="hybridMultilevel"/>
    <w:tmpl w:val="97261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63E7DA1"/>
    <w:multiLevelType w:val="hybridMultilevel"/>
    <w:tmpl w:val="C720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7716B66"/>
    <w:multiLevelType w:val="hybridMultilevel"/>
    <w:tmpl w:val="EA10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874A69"/>
    <w:multiLevelType w:val="hybridMultilevel"/>
    <w:tmpl w:val="BF16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3973FF"/>
    <w:multiLevelType w:val="hybridMultilevel"/>
    <w:tmpl w:val="BD3A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722CD6"/>
    <w:multiLevelType w:val="hybridMultilevel"/>
    <w:tmpl w:val="AEBE5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ED801C7"/>
    <w:multiLevelType w:val="hybridMultilevel"/>
    <w:tmpl w:val="EE3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1C2A28"/>
    <w:multiLevelType w:val="hybridMultilevel"/>
    <w:tmpl w:val="073E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7744CF"/>
    <w:multiLevelType w:val="hybridMultilevel"/>
    <w:tmpl w:val="E4F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7E5875"/>
    <w:multiLevelType w:val="hybridMultilevel"/>
    <w:tmpl w:val="C71C0B66"/>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00F0DB2"/>
    <w:multiLevelType w:val="hybridMultilevel"/>
    <w:tmpl w:val="1BE43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1E5A5B"/>
    <w:multiLevelType w:val="hybridMultilevel"/>
    <w:tmpl w:val="414C7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587616D"/>
    <w:multiLevelType w:val="hybridMultilevel"/>
    <w:tmpl w:val="BA0C0728"/>
    <w:lvl w:ilvl="0" w:tplc="536E3700">
      <w:start w:val="5"/>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EC0BF6"/>
    <w:multiLevelType w:val="hybridMultilevel"/>
    <w:tmpl w:val="0438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442431"/>
    <w:multiLevelType w:val="hybridMultilevel"/>
    <w:tmpl w:val="6562BB74"/>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EE6E69"/>
    <w:multiLevelType w:val="hybridMultilevel"/>
    <w:tmpl w:val="BBBA621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5B6B6FD2"/>
    <w:multiLevelType w:val="hybridMultilevel"/>
    <w:tmpl w:val="4CD277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B7E4C20"/>
    <w:multiLevelType w:val="hybridMultilevel"/>
    <w:tmpl w:val="49441056"/>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84737C"/>
    <w:multiLevelType w:val="hybridMultilevel"/>
    <w:tmpl w:val="64D4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CA778C"/>
    <w:multiLevelType w:val="hybridMultilevel"/>
    <w:tmpl w:val="2EA276D6"/>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EB55B7"/>
    <w:multiLevelType w:val="hybridMultilevel"/>
    <w:tmpl w:val="2D82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9774FE"/>
    <w:multiLevelType w:val="hybridMultilevel"/>
    <w:tmpl w:val="04C414C4"/>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3C1AE5"/>
    <w:multiLevelType w:val="hybridMultilevel"/>
    <w:tmpl w:val="E3B0565C"/>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0F49F3"/>
    <w:multiLevelType w:val="hybridMultilevel"/>
    <w:tmpl w:val="48C6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CD30C5"/>
    <w:multiLevelType w:val="hybridMultilevel"/>
    <w:tmpl w:val="C7B04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2DD0A2D"/>
    <w:multiLevelType w:val="hybridMultilevel"/>
    <w:tmpl w:val="091AA00C"/>
    <w:lvl w:ilvl="0" w:tplc="536E3700">
      <w:start w:val="5"/>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536DD"/>
    <w:multiLevelType w:val="hybridMultilevel"/>
    <w:tmpl w:val="00B4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101EC8"/>
    <w:multiLevelType w:val="hybridMultilevel"/>
    <w:tmpl w:val="1D7A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85391C"/>
    <w:multiLevelType w:val="hybridMultilevel"/>
    <w:tmpl w:val="5BBA47DE"/>
    <w:lvl w:ilvl="0" w:tplc="536E3700">
      <w:start w:val="5"/>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5F55E4"/>
    <w:multiLevelType w:val="hybridMultilevel"/>
    <w:tmpl w:val="927041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8D90A4D"/>
    <w:multiLevelType w:val="hybridMultilevel"/>
    <w:tmpl w:val="B9B2696C"/>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AB4432"/>
    <w:multiLevelType w:val="hybridMultilevel"/>
    <w:tmpl w:val="D4B2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C037F3E"/>
    <w:multiLevelType w:val="hybridMultilevel"/>
    <w:tmpl w:val="73003C18"/>
    <w:lvl w:ilvl="0" w:tplc="536E3700">
      <w:start w:val="5"/>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C49773C"/>
    <w:multiLevelType w:val="hybridMultilevel"/>
    <w:tmpl w:val="1578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51299A"/>
    <w:multiLevelType w:val="hybridMultilevel"/>
    <w:tmpl w:val="8808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F67683"/>
    <w:multiLevelType w:val="hybridMultilevel"/>
    <w:tmpl w:val="F0BCFA94"/>
    <w:lvl w:ilvl="0" w:tplc="C16AB4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E795DC0"/>
    <w:multiLevelType w:val="hybridMultilevel"/>
    <w:tmpl w:val="B386941A"/>
    <w:lvl w:ilvl="0" w:tplc="536E3700">
      <w:start w:val="5"/>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EC84293"/>
    <w:multiLevelType w:val="hybridMultilevel"/>
    <w:tmpl w:val="9406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F6534B7"/>
    <w:multiLevelType w:val="hybridMultilevel"/>
    <w:tmpl w:val="1C5C6D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1924A6F"/>
    <w:multiLevelType w:val="hybridMultilevel"/>
    <w:tmpl w:val="9886F1D2"/>
    <w:lvl w:ilvl="0" w:tplc="C16AB4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26561DD"/>
    <w:multiLevelType w:val="hybridMultilevel"/>
    <w:tmpl w:val="7C2E8908"/>
    <w:lvl w:ilvl="0" w:tplc="7A569FB6">
      <w:start w:val="5"/>
      <w:numFmt w:val="bullet"/>
      <w:lvlText w:val="•"/>
      <w:lvlJc w:val="left"/>
      <w:pPr>
        <w:ind w:left="360" w:hanging="360"/>
      </w:pPr>
      <w:rPr>
        <w:rFonts w:ascii="Aptos" w:eastAsiaTheme="minorHAnsi" w:hAnsi="Aptos" w:cstheme="minorBidi"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49663CD"/>
    <w:multiLevelType w:val="hybridMultilevel"/>
    <w:tmpl w:val="D9702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7D1F8D"/>
    <w:multiLevelType w:val="hybridMultilevel"/>
    <w:tmpl w:val="838AA2CA"/>
    <w:lvl w:ilvl="0" w:tplc="536E370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277570"/>
    <w:multiLevelType w:val="hybridMultilevel"/>
    <w:tmpl w:val="64326936"/>
    <w:lvl w:ilvl="0" w:tplc="536E3700">
      <w:start w:val="5"/>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AC34D74"/>
    <w:multiLevelType w:val="hybridMultilevel"/>
    <w:tmpl w:val="555AB046"/>
    <w:lvl w:ilvl="0" w:tplc="536E3700">
      <w:start w:val="5"/>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BEA18E7"/>
    <w:multiLevelType w:val="hybridMultilevel"/>
    <w:tmpl w:val="2A2C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287499">
    <w:abstractNumId w:val="69"/>
  </w:num>
  <w:num w:numId="2" w16cid:durableId="1970889448">
    <w:abstractNumId w:val="40"/>
  </w:num>
  <w:num w:numId="3" w16cid:durableId="1725373742">
    <w:abstractNumId w:val="37"/>
  </w:num>
  <w:num w:numId="4" w16cid:durableId="844827956">
    <w:abstractNumId w:val="41"/>
  </w:num>
  <w:num w:numId="5" w16cid:durableId="1453136507">
    <w:abstractNumId w:val="12"/>
  </w:num>
  <w:num w:numId="6" w16cid:durableId="972252144">
    <w:abstractNumId w:val="93"/>
  </w:num>
  <w:num w:numId="7" w16cid:durableId="1453326354">
    <w:abstractNumId w:val="81"/>
  </w:num>
  <w:num w:numId="8" w16cid:durableId="696976523">
    <w:abstractNumId w:val="92"/>
  </w:num>
  <w:num w:numId="9" w16cid:durableId="1769084312">
    <w:abstractNumId w:val="26"/>
  </w:num>
  <w:num w:numId="10" w16cid:durableId="753402488">
    <w:abstractNumId w:val="83"/>
  </w:num>
  <w:num w:numId="11" w16cid:durableId="294023304">
    <w:abstractNumId w:val="68"/>
  </w:num>
  <w:num w:numId="12" w16cid:durableId="1618608723">
    <w:abstractNumId w:val="72"/>
  </w:num>
  <w:num w:numId="13" w16cid:durableId="1177157968">
    <w:abstractNumId w:val="9"/>
  </w:num>
  <w:num w:numId="14" w16cid:durableId="1662730935">
    <w:abstractNumId w:val="27"/>
  </w:num>
  <w:num w:numId="15" w16cid:durableId="2073263148">
    <w:abstractNumId w:val="78"/>
  </w:num>
  <w:num w:numId="16" w16cid:durableId="1706371943">
    <w:abstractNumId w:val="64"/>
  </w:num>
  <w:num w:numId="17" w16cid:durableId="1457019015">
    <w:abstractNumId w:val="1"/>
  </w:num>
  <w:num w:numId="18" w16cid:durableId="1727756506">
    <w:abstractNumId w:val="42"/>
  </w:num>
  <w:num w:numId="19" w16cid:durableId="1784497659">
    <w:abstractNumId w:val="91"/>
  </w:num>
  <w:num w:numId="20" w16cid:durableId="1410420370">
    <w:abstractNumId w:val="86"/>
  </w:num>
  <w:num w:numId="21" w16cid:durableId="1800490191">
    <w:abstractNumId w:val="90"/>
  </w:num>
  <w:num w:numId="22" w16cid:durableId="428621381">
    <w:abstractNumId w:val="5"/>
  </w:num>
  <w:num w:numId="23" w16cid:durableId="859516304">
    <w:abstractNumId w:val="16"/>
  </w:num>
  <w:num w:numId="24" w16cid:durableId="881015039">
    <w:abstractNumId w:val="48"/>
  </w:num>
  <w:num w:numId="25" w16cid:durableId="1385787030">
    <w:abstractNumId w:val="33"/>
  </w:num>
  <w:num w:numId="26" w16cid:durableId="336689111">
    <w:abstractNumId w:val="60"/>
  </w:num>
  <w:num w:numId="27" w16cid:durableId="691759001">
    <w:abstractNumId w:val="21"/>
  </w:num>
  <w:num w:numId="28" w16cid:durableId="920406333">
    <w:abstractNumId w:val="70"/>
  </w:num>
  <w:num w:numId="29" w16cid:durableId="345786197">
    <w:abstractNumId w:val="65"/>
  </w:num>
  <w:num w:numId="30" w16cid:durableId="1432824004">
    <w:abstractNumId w:val="11"/>
  </w:num>
  <w:num w:numId="31" w16cid:durableId="2072342909">
    <w:abstractNumId w:val="25"/>
  </w:num>
  <w:num w:numId="32" w16cid:durableId="114101013">
    <w:abstractNumId w:val="73"/>
  </w:num>
  <w:num w:numId="33" w16cid:durableId="1755008665">
    <w:abstractNumId w:val="6"/>
  </w:num>
  <w:num w:numId="34" w16cid:durableId="419789982">
    <w:abstractNumId w:val="17"/>
  </w:num>
  <w:num w:numId="35" w16cid:durableId="1461454569">
    <w:abstractNumId w:val="61"/>
  </w:num>
  <w:num w:numId="36" w16cid:durableId="1536038728">
    <w:abstractNumId w:val="29"/>
  </w:num>
  <w:num w:numId="37" w16cid:durableId="2016687778">
    <w:abstractNumId w:val="31"/>
  </w:num>
  <w:num w:numId="38" w16cid:durableId="1351956716">
    <w:abstractNumId w:val="87"/>
  </w:num>
  <w:num w:numId="39" w16cid:durableId="1948393372">
    <w:abstractNumId w:val="56"/>
  </w:num>
  <w:num w:numId="40" w16cid:durableId="15618072">
    <w:abstractNumId w:val="66"/>
  </w:num>
  <w:num w:numId="41" w16cid:durableId="1910530798">
    <w:abstractNumId w:val="8"/>
  </w:num>
  <w:num w:numId="42" w16cid:durableId="1016731849">
    <w:abstractNumId w:val="95"/>
  </w:num>
  <w:num w:numId="43" w16cid:durableId="1005353641">
    <w:abstractNumId w:val="94"/>
  </w:num>
  <w:num w:numId="44" w16cid:durableId="870190563">
    <w:abstractNumId w:val="47"/>
  </w:num>
  <w:num w:numId="45" w16cid:durableId="1618638487">
    <w:abstractNumId w:val="34"/>
  </w:num>
  <w:num w:numId="46" w16cid:durableId="1388184784">
    <w:abstractNumId w:val="49"/>
  </w:num>
  <w:num w:numId="47" w16cid:durableId="557789581">
    <w:abstractNumId w:val="36"/>
  </w:num>
  <w:num w:numId="48" w16cid:durableId="1259366895">
    <w:abstractNumId w:val="58"/>
  </w:num>
  <w:num w:numId="49" w16cid:durableId="421489614">
    <w:abstractNumId w:val="13"/>
  </w:num>
  <w:num w:numId="50" w16cid:durableId="1358190303">
    <w:abstractNumId w:val="89"/>
  </w:num>
  <w:num w:numId="51" w16cid:durableId="396897245">
    <w:abstractNumId w:val="80"/>
  </w:num>
  <w:num w:numId="52" w16cid:durableId="1133063429">
    <w:abstractNumId w:val="67"/>
  </w:num>
  <w:num w:numId="53" w16cid:durableId="1067846975">
    <w:abstractNumId w:val="62"/>
  </w:num>
  <w:num w:numId="54" w16cid:durableId="1225603597">
    <w:abstractNumId w:val="39"/>
  </w:num>
  <w:num w:numId="55" w16cid:durableId="2111199948">
    <w:abstractNumId w:val="15"/>
  </w:num>
  <w:num w:numId="56" w16cid:durableId="271983562">
    <w:abstractNumId w:val="30"/>
  </w:num>
  <w:num w:numId="57" w16cid:durableId="1937902436">
    <w:abstractNumId w:val="45"/>
  </w:num>
  <w:num w:numId="58" w16cid:durableId="446513063">
    <w:abstractNumId w:val="22"/>
  </w:num>
  <w:num w:numId="59" w16cid:durableId="714504806">
    <w:abstractNumId w:val="75"/>
  </w:num>
  <w:num w:numId="60" w16cid:durableId="1555770584">
    <w:abstractNumId w:val="14"/>
  </w:num>
  <w:num w:numId="61" w16cid:durableId="139732379">
    <w:abstractNumId w:val="19"/>
  </w:num>
  <w:num w:numId="62" w16cid:durableId="374084280">
    <w:abstractNumId w:val="74"/>
  </w:num>
  <w:num w:numId="63" w16cid:durableId="198131201">
    <w:abstractNumId w:val="82"/>
  </w:num>
  <w:num w:numId="64" w16cid:durableId="174270252">
    <w:abstractNumId w:val="0"/>
  </w:num>
  <w:num w:numId="65" w16cid:durableId="1746679880">
    <w:abstractNumId w:val="77"/>
  </w:num>
  <w:num w:numId="66" w16cid:durableId="1905750774">
    <w:abstractNumId w:val="24"/>
  </w:num>
  <w:num w:numId="67" w16cid:durableId="822090458">
    <w:abstractNumId w:val="59"/>
  </w:num>
  <w:num w:numId="68" w16cid:durableId="1860968203">
    <w:abstractNumId w:val="10"/>
  </w:num>
  <w:num w:numId="69" w16cid:durableId="1329211542">
    <w:abstractNumId w:val="28"/>
  </w:num>
  <w:num w:numId="70" w16cid:durableId="1996912351">
    <w:abstractNumId w:val="4"/>
  </w:num>
  <w:num w:numId="71" w16cid:durableId="1891185322">
    <w:abstractNumId w:val="84"/>
  </w:num>
  <w:num w:numId="72" w16cid:durableId="1696617932">
    <w:abstractNumId w:val="55"/>
  </w:num>
  <w:num w:numId="73" w16cid:durableId="109588597">
    <w:abstractNumId w:val="23"/>
  </w:num>
  <w:num w:numId="74" w16cid:durableId="1496996056">
    <w:abstractNumId w:val="7"/>
  </w:num>
  <w:num w:numId="75" w16cid:durableId="637537630">
    <w:abstractNumId w:val="96"/>
  </w:num>
  <w:num w:numId="76" w16cid:durableId="252594550">
    <w:abstractNumId w:val="2"/>
  </w:num>
  <w:num w:numId="77" w16cid:durableId="614557012">
    <w:abstractNumId w:val="20"/>
  </w:num>
  <w:num w:numId="78" w16cid:durableId="1645890860">
    <w:abstractNumId w:val="52"/>
  </w:num>
  <w:num w:numId="79" w16cid:durableId="2134640424">
    <w:abstractNumId w:val="54"/>
  </w:num>
  <w:num w:numId="80" w16cid:durableId="1955557094">
    <w:abstractNumId w:val="32"/>
  </w:num>
  <w:num w:numId="81" w16cid:durableId="474764377">
    <w:abstractNumId w:val="18"/>
  </w:num>
  <w:num w:numId="82" w16cid:durableId="1925258601">
    <w:abstractNumId w:val="88"/>
  </w:num>
  <w:num w:numId="83" w16cid:durableId="1106005663">
    <w:abstractNumId w:val="85"/>
  </w:num>
  <w:num w:numId="84" w16cid:durableId="1110321901">
    <w:abstractNumId w:val="3"/>
  </w:num>
  <w:num w:numId="85" w16cid:durableId="758716338">
    <w:abstractNumId w:val="53"/>
  </w:num>
  <w:num w:numId="86" w16cid:durableId="1600406126">
    <w:abstractNumId w:val="35"/>
  </w:num>
  <w:num w:numId="87" w16cid:durableId="620114257">
    <w:abstractNumId w:val="46"/>
  </w:num>
  <w:num w:numId="88" w16cid:durableId="1417944623">
    <w:abstractNumId w:val="43"/>
  </w:num>
  <w:num w:numId="89" w16cid:durableId="958071986">
    <w:abstractNumId w:val="50"/>
  </w:num>
  <w:num w:numId="90" w16cid:durableId="901403158">
    <w:abstractNumId w:val="71"/>
  </w:num>
  <w:num w:numId="91" w16cid:durableId="824278473">
    <w:abstractNumId w:val="57"/>
  </w:num>
  <w:num w:numId="92" w16cid:durableId="43602020">
    <w:abstractNumId w:val="51"/>
  </w:num>
  <w:num w:numId="93" w16cid:durableId="1150899877">
    <w:abstractNumId w:val="44"/>
  </w:num>
  <w:num w:numId="94" w16cid:durableId="2126537440">
    <w:abstractNumId w:val="79"/>
  </w:num>
  <w:num w:numId="95" w16cid:durableId="1593397248">
    <w:abstractNumId w:val="63"/>
  </w:num>
  <w:num w:numId="96" w16cid:durableId="881088196">
    <w:abstractNumId w:val="76"/>
  </w:num>
  <w:num w:numId="97" w16cid:durableId="461771994">
    <w:abstractNumId w:val="3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t4qChgW/xsoDomur7hMeP4SAkYqDuCFoPrGFeyvIdkLYwKb7k+I7HhyGaYdFvdvsnw5b+qS+OVkIZ2+0Du3Q==" w:salt="T9kijD5oGo3kYekyd1c99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DA"/>
    <w:rsid w:val="00004670"/>
    <w:rsid w:val="00005DF6"/>
    <w:rsid w:val="000260AF"/>
    <w:rsid w:val="000440BD"/>
    <w:rsid w:val="00045302"/>
    <w:rsid w:val="00056350"/>
    <w:rsid w:val="000727CA"/>
    <w:rsid w:val="00091407"/>
    <w:rsid w:val="000A313A"/>
    <w:rsid w:val="000B35E1"/>
    <w:rsid w:val="000C36DF"/>
    <w:rsid w:val="000D5E5D"/>
    <w:rsid w:val="001057AA"/>
    <w:rsid w:val="00124A89"/>
    <w:rsid w:val="00125CAD"/>
    <w:rsid w:val="00131CB4"/>
    <w:rsid w:val="001344B3"/>
    <w:rsid w:val="0014205E"/>
    <w:rsid w:val="00155C86"/>
    <w:rsid w:val="00161D96"/>
    <w:rsid w:val="0019630E"/>
    <w:rsid w:val="001B07CE"/>
    <w:rsid w:val="001F05A4"/>
    <w:rsid w:val="00213F0F"/>
    <w:rsid w:val="00246620"/>
    <w:rsid w:val="00262DCD"/>
    <w:rsid w:val="00275D53"/>
    <w:rsid w:val="00287F18"/>
    <w:rsid w:val="0029570E"/>
    <w:rsid w:val="002A2262"/>
    <w:rsid w:val="002C34A7"/>
    <w:rsid w:val="002D3813"/>
    <w:rsid w:val="002E5E4F"/>
    <w:rsid w:val="002F10CA"/>
    <w:rsid w:val="00304568"/>
    <w:rsid w:val="003263F4"/>
    <w:rsid w:val="00326634"/>
    <w:rsid w:val="00333282"/>
    <w:rsid w:val="00337E9C"/>
    <w:rsid w:val="003452EB"/>
    <w:rsid w:val="00353560"/>
    <w:rsid w:val="003565AB"/>
    <w:rsid w:val="00396489"/>
    <w:rsid w:val="003A46BC"/>
    <w:rsid w:val="003A4E53"/>
    <w:rsid w:val="003A7098"/>
    <w:rsid w:val="003F6E97"/>
    <w:rsid w:val="00430AA3"/>
    <w:rsid w:val="00440031"/>
    <w:rsid w:val="00440D57"/>
    <w:rsid w:val="004457E7"/>
    <w:rsid w:val="004541AA"/>
    <w:rsid w:val="00463218"/>
    <w:rsid w:val="00463F19"/>
    <w:rsid w:val="0047265B"/>
    <w:rsid w:val="004811FC"/>
    <w:rsid w:val="004C39F9"/>
    <w:rsid w:val="004E3F25"/>
    <w:rsid w:val="005052F3"/>
    <w:rsid w:val="0050730A"/>
    <w:rsid w:val="0051064F"/>
    <w:rsid w:val="00532D11"/>
    <w:rsid w:val="00567A81"/>
    <w:rsid w:val="00580E70"/>
    <w:rsid w:val="005A0FED"/>
    <w:rsid w:val="005E4125"/>
    <w:rsid w:val="00610C66"/>
    <w:rsid w:val="00623E74"/>
    <w:rsid w:val="006427F2"/>
    <w:rsid w:val="00657D3A"/>
    <w:rsid w:val="00660D4F"/>
    <w:rsid w:val="00664C7D"/>
    <w:rsid w:val="00686857"/>
    <w:rsid w:val="00697AA5"/>
    <w:rsid w:val="006A7D20"/>
    <w:rsid w:val="006B205B"/>
    <w:rsid w:val="006B56FC"/>
    <w:rsid w:val="006B7B86"/>
    <w:rsid w:val="006C37EA"/>
    <w:rsid w:val="006D6FF9"/>
    <w:rsid w:val="006F0C2E"/>
    <w:rsid w:val="006F6990"/>
    <w:rsid w:val="00701C7E"/>
    <w:rsid w:val="00737D63"/>
    <w:rsid w:val="007547EE"/>
    <w:rsid w:val="0077242E"/>
    <w:rsid w:val="00772994"/>
    <w:rsid w:val="007743F2"/>
    <w:rsid w:val="007A4D3C"/>
    <w:rsid w:val="007B4A62"/>
    <w:rsid w:val="007C65DA"/>
    <w:rsid w:val="007E3CA4"/>
    <w:rsid w:val="008209B1"/>
    <w:rsid w:val="00833822"/>
    <w:rsid w:val="008569C9"/>
    <w:rsid w:val="00857517"/>
    <w:rsid w:val="00861CD9"/>
    <w:rsid w:val="008708B5"/>
    <w:rsid w:val="00877C92"/>
    <w:rsid w:val="00880271"/>
    <w:rsid w:val="008835FA"/>
    <w:rsid w:val="0088379F"/>
    <w:rsid w:val="008859DD"/>
    <w:rsid w:val="00886C31"/>
    <w:rsid w:val="00894A15"/>
    <w:rsid w:val="008A2980"/>
    <w:rsid w:val="008C3607"/>
    <w:rsid w:val="008C67EE"/>
    <w:rsid w:val="008E0B7F"/>
    <w:rsid w:val="008E3CB4"/>
    <w:rsid w:val="009029F2"/>
    <w:rsid w:val="00904C79"/>
    <w:rsid w:val="0092212B"/>
    <w:rsid w:val="009321E2"/>
    <w:rsid w:val="00972D90"/>
    <w:rsid w:val="00980B2A"/>
    <w:rsid w:val="00983C59"/>
    <w:rsid w:val="009A6126"/>
    <w:rsid w:val="00A035D4"/>
    <w:rsid w:val="00A35617"/>
    <w:rsid w:val="00A37F91"/>
    <w:rsid w:val="00A40ED8"/>
    <w:rsid w:val="00A541DA"/>
    <w:rsid w:val="00A61C52"/>
    <w:rsid w:val="00A6352E"/>
    <w:rsid w:val="00A7520B"/>
    <w:rsid w:val="00A7783A"/>
    <w:rsid w:val="00AB0738"/>
    <w:rsid w:val="00AC3A48"/>
    <w:rsid w:val="00AD1142"/>
    <w:rsid w:val="00AD3F21"/>
    <w:rsid w:val="00AE67B9"/>
    <w:rsid w:val="00AF3975"/>
    <w:rsid w:val="00AF56B4"/>
    <w:rsid w:val="00B051CC"/>
    <w:rsid w:val="00B267E9"/>
    <w:rsid w:val="00B34301"/>
    <w:rsid w:val="00B344AD"/>
    <w:rsid w:val="00B4628C"/>
    <w:rsid w:val="00B639C3"/>
    <w:rsid w:val="00B733F9"/>
    <w:rsid w:val="00B7479E"/>
    <w:rsid w:val="00B94D6F"/>
    <w:rsid w:val="00BA3980"/>
    <w:rsid w:val="00BD4FA2"/>
    <w:rsid w:val="00C342D2"/>
    <w:rsid w:val="00C346F4"/>
    <w:rsid w:val="00C412A6"/>
    <w:rsid w:val="00C43930"/>
    <w:rsid w:val="00C62E31"/>
    <w:rsid w:val="00C77D2B"/>
    <w:rsid w:val="00C8759D"/>
    <w:rsid w:val="00CA1830"/>
    <w:rsid w:val="00CA7B3E"/>
    <w:rsid w:val="00CC497D"/>
    <w:rsid w:val="00CC535C"/>
    <w:rsid w:val="00D06B33"/>
    <w:rsid w:val="00D22DAC"/>
    <w:rsid w:val="00D25799"/>
    <w:rsid w:val="00D46928"/>
    <w:rsid w:val="00D74FE9"/>
    <w:rsid w:val="00D76648"/>
    <w:rsid w:val="00DA1202"/>
    <w:rsid w:val="00DA572D"/>
    <w:rsid w:val="00DB55B3"/>
    <w:rsid w:val="00DB5DDA"/>
    <w:rsid w:val="00DD21DF"/>
    <w:rsid w:val="00DE030D"/>
    <w:rsid w:val="00E1193A"/>
    <w:rsid w:val="00E22231"/>
    <w:rsid w:val="00E3323A"/>
    <w:rsid w:val="00E410AA"/>
    <w:rsid w:val="00E53CBE"/>
    <w:rsid w:val="00E637BF"/>
    <w:rsid w:val="00E8151E"/>
    <w:rsid w:val="00E81B2C"/>
    <w:rsid w:val="00E9141D"/>
    <w:rsid w:val="00EC392A"/>
    <w:rsid w:val="00EC3F55"/>
    <w:rsid w:val="00EC4E2A"/>
    <w:rsid w:val="00EE735D"/>
    <w:rsid w:val="00EF30C4"/>
    <w:rsid w:val="00EF3FC5"/>
    <w:rsid w:val="00EF700F"/>
    <w:rsid w:val="00F135EB"/>
    <w:rsid w:val="00F260C3"/>
    <w:rsid w:val="00F46577"/>
    <w:rsid w:val="00F469FD"/>
    <w:rsid w:val="00F5479D"/>
    <w:rsid w:val="00F612AB"/>
    <w:rsid w:val="00FA1DBA"/>
    <w:rsid w:val="00FB0F15"/>
    <w:rsid w:val="00FB4165"/>
    <w:rsid w:val="00FC69F1"/>
    <w:rsid w:val="00FD65B5"/>
    <w:rsid w:val="00FF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29BB1C"/>
  <w15:chartTrackingRefBased/>
  <w15:docId w15:val="{D96BF9F2-0676-4EB3-875E-E2987DB9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5DA"/>
    <w:rPr>
      <w:rFonts w:eastAsiaTheme="majorEastAsia" w:cstheme="majorBidi"/>
      <w:color w:val="272727" w:themeColor="text1" w:themeTint="D8"/>
    </w:rPr>
  </w:style>
  <w:style w:type="paragraph" w:styleId="Title">
    <w:name w:val="Title"/>
    <w:basedOn w:val="Normal"/>
    <w:next w:val="Normal"/>
    <w:link w:val="TitleChar"/>
    <w:uiPriority w:val="10"/>
    <w:qFormat/>
    <w:rsid w:val="007C6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5DA"/>
    <w:pPr>
      <w:spacing w:before="160"/>
      <w:jc w:val="center"/>
    </w:pPr>
    <w:rPr>
      <w:i/>
      <w:iCs/>
      <w:color w:val="404040" w:themeColor="text1" w:themeTint="BF"/>
    </w:rPr>
  </w:style>
  <w:style w:type="character" w:customStyle="1" w:styleId="QuoteChar">
    <w:name w:val="Quote Char"/>
    <w:basedOn w:val="DefaultParagraphFont"/>
    <w:link w:val="Quote"/>
    <w:uiPriority w:val="29"/>
    <w:rsid w:val="007C65DA"/>
    <w:rPr>
      <w:i/>
      <w:iCs/>
      <w:color w:val="404040" w:themeColor="text1" w:themeTint="BF"/>
    </w:rPr>
  </w:style>
  <w:style w:type="paragraph" w:styleId="ListParagraph">
    <w:name w:val="List Paragraph"/>
    <w:basedOn w:val="Normal"/>
    <w:uiPriority w:val="34"/>
    <w:qFormat/>
    <w:rsid w:val="007C65DA"/>
    <w:pPr>
      <w:ind w:left="720"/>
      <w:contextualSpacing/>
    </w:pPr>
  </w:style>
  <w:style w:type="character" w:styleId="IntenseEmphasis">
    <w:name w:val="Intense Emphasis"/>
    <w:basedOn w:val="DefaultParagraphFont"/>
    <w:uiPriority w:val="21"/>
    <w:qFormat/>
    <w:rsid w:val="007C65DA"/>
    <w:rPr>
      <w:i/>
      <w:iCs/>
      <w:color w:val="0F4761" w:themeColor="accent1" w:themeShade="BF"/>
    </w:rPr>
  </w:style>
  <w:style w:type="paragraph" w:styleId="IntenseQuote">
    <w:name w:val="Intense Quote"/>
    <w:basedOn w:val="Normal"/>
    <w:next w:val="Normal"/>
    <w:link w:val="IntenseQuoteChar"/>
    <w:uiPriority w:val="30"/>
    <w:qFormat/>
    <w:rsid w:val="007C6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5DA"/>
    <w:rPr>
      <w:i/>
      <w:iCs/>
      <w:color w:val="0F4761" w:themeColor="accent1" w:themeShade="BF"/>
    </w:rPr>
  </w:style>
  <w:style w:type="character" w:styleId="IntenseReference">
    <w:name w:val="Intense Reference"/>
    <w:basedOn w:val="DefaultParagraphFont"/>
    <w:uiPriority w:val="32"/>
    <w:qFormat/>
    <w:rsid w:val="007C65DA"/>
    <w:rPr>
      <w:b/>
      <w:bCs/>
      <w:smallCaps/>
      <w:color w:val="0F4761" w:themeColor="accent1" w:themeShade="BF"/>
      <w:spacing w:val="5"/>
    </w:rPr>
  </w:style>
  <w:style w:type="paragraph" w:customStyle="1" w:styleId="Default">
    <w:name w:val="Default"/>
    <w:rsid w:val="007C65DA"/>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610C66"/>
    <w:rPr>
      <w:color w:val="467886" w:themeColor="hyperlink"/>
      <w:u w:val="single"/>
    </w:rPr>
  </w:style>
  <w:style w:type="character" w:styleId="UnresolvedMention">
    <w:name w:val="Unresolved Mention"/>
    <w:basedOn w:val="DefaultParagraphFont"/>
    <w:uiPriority w:val="99"/>
    <w:semiHidden/>
    <w:unhideWhenUsed/>
    <w:rsid w:val="00610C66"/>
    <w:rPr>
      <w:color w:val="605E5C"/>
      <w:shd w:val="clear" w:color="auto" w:fill="E1DFDD"/>
    </w:rPr>
  </w:style>
  <w:style w:type="table" w:styleId="TableGrid">
    <w:name w:val="Table Grid"/>
    <w:basedOn w:val="TableNormal"/>
    <w:uiPriority w:val="39"/>
    <w:rsid w:val="003F6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35D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20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20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802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30A"/>
  </w:style>
  <w:style w:type="paragraph" w:styleId="Footer">
    <w:name w:val="footer"/>
    <w:basedOn w:val="Normal"/>
    <w:link w:val="FooterChar"/>
    <w:uiPriority w:val="99"/>
    <w:unhideWhenUsed/>
    <w:rsid w:val="00507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0A"/>
  </w:style>
  <w:style w:type="character" w:styleId="FollowedHyperlink">
    <w:name w:val="FollowedHyperlink"/>
    <w:basedOn w:val="DefaultParagraphFont"/>
    <w:uiPriority w:val="99"/>
    <w:semiHidden/>
    <w:unhideWhenUsed/>
    <w:rsid w:val="007743F2"/>
    <w:rPr>
      <w:color w:val="96607D" w:themeColor="followedHyperlink"/>
      <w:u w:val="single"/>
    </w:rPr>
  </w:style>
  <w:style w:type="character" w:styleId="PlaceholderText">
    <w:name w:val="Placeholder Text"/>
    <w:basedOn w:val="DefaultParagraphFont"/>
    <w:uiPriority w:val="99"/>
    <w:semiHidden/>
    <w:rsid w:val="00D469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osp.od.nih.gov/wp-content/uploads/NIH_Guidelines.pdf" TargetMode="External"/><Relationship Id="rId26" Type="http://schemas.openxmlformats.org/officeDocument/2006/relationships/hyperlink" Target="https://deq.nd.gov/WM/HazardousWasteProgram/" TargetMode="External"/><Relationship Id="rId39" Type="http://schemas.openxmlformats.org/officeDocument/2006/relationships/hyperlink" Target="http://www.fws.gov/permits/ImportExport/ImportExport.shtml" TargetMode="External"/><Relationship Id="rId21" Type="http://schemas.openxmlformats.org/officeDocument/2006/relationships/hyperlink" Target="https://www.selectagents.gov/index.htm" TargetMode="External"/><Relationship Id="rId34" Type="http://schemas.openxmlformats.org/officeDocument/2006/relationships/image" Target="media/image5.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my.absa.org/Riskgrou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aspr.hhs.gov/S3/Documents/USG-Policy-for-Oversight-of-DURC-and-PEPP-May2024-508.pdf" TargetMode="External"/><Relationship Id="rId32" Type="http://schemas.openxmlformats.org/officeDocument/2006/relationships/image" Target="media/image4.png"/><Relationship Id="rId37" Type="http://schemas.openxmlformats.org/officeDocument/2006/relationships/hyperlink" Target="http://www.cdc.gov/od/eaipp/" TargetMode="External"/><Relationship Id="rId40" Type="http://schemas.openxmlformats.org/officeDocument/2006/relationships/hyperlink" Target="https://und.edu/research/resources/export-controls.cf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ecfr.gov/current/title-49/subtitle-B/chapter-I/subchapter-C/part-171" TargetMode="External"/><Relationship Id="rId28" Type="http://schemas.openxmlformats.org/officeDocument/2006/relationships/hyperlink" Target="https://und.edu/research/resources/committees/institutional-biosafety-committee.html" TargetMode="External"/><Relationship Id="rId36" Type="http://schemas.openxmlformats.org/officeDocument/2006/relationships/hyperlink" Target="https://campus.und.edu/safety/risk-management/incident-reporting-page.html" TargetMode="External"/><Relationship Id="rId10" Type="http://schemas.openxmlformats.org/officeDocument/2006/relationships/hyperlink" Target="mailto:UND.ibc@UND.edu" TargetMode="External"/><Relationship Id="rId19" Type="http://schemas.openxmlformats.org/officeDocument/2006/relationships/hyperlink" Target="https://www.cdc.gov/labs/bmbl/index.html" TargetMode="External"/><Relationship Id="rId31" Type="http://schemas.openxmlformats.org/officeDocument/2006/relationships/hyperlink" Target="https://campus.und.edu/safety/public-safety/lab-and-research/general-lab-safety.html#d65e113--1" TargetMode="External"/><Relationship Id="rId44"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UND.safety@UND.edu" TargetMode="External"/><Relationship Id="rId14" Type="http://schemas.openxmlformats.org/officeDocument/2006/relationships/diagramColors" Target="diagrams/colors1.xml"/><Relationship Id="rId22" Type="http://schemas.openxmlformats.org/officeDocument/2006/relationships/hyperlink" Target="https://www.osha.gov/bloodborne-pathogens/standards" TargetMode="External"/><Relationship Id="rId27" Type="http://schemas.openxmlformats.org/officeDocument/2006/relationships/hyperlink" Target="https://ndus.yuja.com/V/Video?v=4995239&amp;node=17084951&amp;a=642591901&amp;autoplay=1" TargetMode="External"/><Relationship Id="rId30" Type="http://schemas.openxmlformats.org/officeDocument/2006/relationships/hyperlink" Target="mailto:UND.safety@UND.edu" TargetMode="External"/><Relationship Id="rId35" Type="http://schemas.openxmlformats.org/officeDocument/2006/relationships/hyperlink" Target="https://campus.und.edu/safety/risk-management/incident-reporting-page.html" TargetMode="External"/><Relationship Id="rId43" Type="http://schemas.openxmlformats.org/officeDocument/2006/relationships/image" Target="media/image6.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image" Target="media/image3.png"/><Relationship Id="rId25" Type="http://schemas.openxmlformats.org/officeDocument/2006/relationships/hyperlink" Target="https://aspr.hhs.gov/S3/Documents/USG-DURC-PEPP-Implementation-Guidance-May2024-508.pdf" TargetMode="External"/><Relationship Id="rId33" Type="http://schemas.openxmlformats.org/officeDocument/2006/relationships/hyperlink" Target="mailto:UND.safety@UND.edu" TargetMode="External"/><Relationship Id="rId38" Type="http://schemas.openxmlformats.org/officeDocument/2006/relationships/hyperlink" Target="http://www.aphis.usda.gov/wps/portal/aphis/resources/permits" TargetMode="External"/><Relationship Id="rId46" Type="http://schemas.openxmlformats.org/officeDocument/2006/relationships/glossaryDocument" Target="glossary/document.xml"/><Relationship Id="rId20" Type="http://schemas.openxmlformats.org/officeDocument/2006/relationships/hyperlink" Target="https://www.who.int/publications/i/item/9789240011311" TargetMode="External"/><Relationship Id="rId41"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32FABF-796E-4650-A2F1-DD2689C04BAB}" type="doc">
      <dgm:prSet loTypeId="urn:microsoft.com/office/officeart/2005/8/layout/radial6" loCatId="cycle" qsTypeId="urn:microsoft.com/office/officeart/2005/8/quickstyle/3d2" qsCatId="3D" csTypeId="urn:microsoft.com/office/officeart/2005/8/colors/accent3_2" csCatId="accent3" phldr="1"/>
      <dgm:spPr/>
      <dgm:t>
        <a:bodyPr/>
        <a:lstStyle/>
        <a:p>
          <a:endParaRPr lang="en-US"/>
        </a:p>
      </dgm:t>
    </dgm:pt>
    <dgm:pt modelId="{BABF17CE-8561-4F37-8D0C-EAC89FC720C9}">
      <dgm:prSet phldrT="[Text]"/>
      <dgm:spPr>
        <a:xfrm>
          <a:off x="1922003" y="959978"/>
          <a:ext cx="1051842" cy="1051842"/>
        </a:xfrm>
        <a:prstGeom prst="ellipse">
          <a:avLst/>
        </a:prstGeom>
        <a:gradFill rotWithShape="0">
          <a:gsLst>
            <a:gs pos="0">
              <a:srgbClr val="196B24">
                <a:hueOff val="0"/>
                <a:satOff val="0"/>
                <a:lumOff val="0"/>
                <a:alphaOff val="0"/>
                <a:satMod val="103000"/>
                <a:lumMod val="102000"/>
                <a:tint val="94000"/>
              </a:srgbClr>
            </a:gs>
            <a:gs pos="50000">
              <a:srgbClr val="196B24">
                <a:hueOff val="0"/>
                <a:satOff val="0"/>
                <a:lumOff val="0"/>
                <a:alphaOff val="0"/>
                <a:satMod val="110000"/>
                <a:lumMod val="100000"/>
                <a:shade val="100000"/>
              </a:srgbClr>
            </a:gs>
            <a:gs pos="100000">
              <a:srgbClr val="196B2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buNone/>
          </a:pPr>
          <a:r>
            <a:rPr lang="en-US">
              <a:solidFill>
                <a:sysClr val="window" lastClr="FFFFFF"/>
              </a:solidFill>
              <a:latin typeface="Aptos" panose="02110004020202020204"/>
              <a:ea typeface="+mn-ea"/>
              <a:cs typeface="+mn-cs"/>
            </a:rPr>
            <a:t>Expecations of Research Safety</a:t>
          </a:r>
        </a:p>
      </dgm:t>
    </dgm:pt>
    <dgm:pt modelId="{BB89BDE7-F39D-42CB-AC38-9A84D5AEAA4E}" type="parTrans" cxnId="{CF7E2998-670D-40D0-9A49-606224E71244}">
      <dgm:prSet/>
      <dgm:spPr/>
      <dgm:t>
        <a:bodyPr/>
        <a:lstStyle/>
        <a:p>
          <a:pPr algn="ctr"/>
          <a:endParaRPr lang="en-US"/>
        </a:p>
      </dgm:t>
    </dgm:pt>
    <dgm:pt modelId="{815AF167-CE90-4EF5-9192-3F177C333D12}" type="sibTrans" cxnId="{CF7E2998-670D-40D0-9A49-606224E71244}">
      <dgm:prSet/>
      <dgm:spPr/>
      <dgm:t>
        <a:bodyPr/>
        <a:lstStyle/>
        <a:p>
          <a:pPr algn="ctr"/>
          <a:endParaRPr lang="en-US"/>
        </a:p>
      </dgm:t>
    </dgm:pt>
    <dgm:pt modelId="{4B7E35F7-7E66-4C84-833B-5C9C4CE485C9}">
      <dgm:prSet phldrT="[Text]" custT="1"/>
      <dgm:spPr>
        <a:xfrm>
          <a:off x="2079780" y="570"/>
          <a:ext cx="736289" cy="736289"/>
        </a:xfrm>
        <a:prstGeom prst="ellipse">
          <a:avLst/>
        </a:prstGeom>
        <a:gradFill rotWithShape="0">
          <a:gsLst>
            <a:gs pos="0">
              <a:srgbClr val="196B24">
                <a:hueOff val="0"/>
                <a:satOff val="0"/>
                <a:lumOff val="0"/>
                <a:alphaOff val="0"/>
                <a:satMod val="103000"/>
                <a:lumMod val="102000"/>
                <a:tint val="94000"/>
              </a:srgbClr>
            </a:gs>
            <a:gs pos="50000">
              <a:srgbClr val="196B24">
                <a:hueOff val="0"/>
                <a:satOff val="0"/>
                <a:lumOff val="0"/>
                <a:alphaOff val="0"/>
                <a:satMod val="110000"/>
                <a:lumMod val="100000"/>
                <a:shade val="100000"/>
              </a:srgbClr>
            </a:gs>
            <a:gs pos="100000">
              <a:srgbClr val="196B2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buNone/>
          </a:pPr>
          <a:r>
            <a:rPr lang="en-US" sz="1000">
              <a:solidFill>
                <a:sysClr val="window" lastClr="FFFFFF"/>
              </a:solidFill>
              <a:latin typeface="Aptos" panose="02110004020202020204"/>
              <a:ea typeface="+mn-ea"/>
              <a:cs typeface="+mn-cs"/>
            </a:rPr>
            <a:t>Leadership</a:t>
          </a:r>
        </a:p>
      </dgm:t>
    </dgm:pt>
    <dgm:pt modelId="{111CE85D-C8CC-41A9-B156-0DA589FD88F4}" type="parTrans" cxnId="{83FC1B83-708C-4C82-8891-808C2D8B21DD}">
      <dgm:prSet/>
      <dgm:spPr/>
      <dgm:t>
        <a:bodyPr/>
        <a:lstStyle/>
        <a:p>
          <a:pPr algn="ctr"/>
          <a:endParaRPr lang="en-US"/>
        </a:p>
      </dgm:t>
    </dgm:pt>
    <dgm:pt modelId="{8DCEDBED-1788-46D9-AE45-2F4132F49D22}" type="sibTrans" cxnId="{83FC1B83-708C-4C82-8891-808C2D8B21DD}">
      <dgm:prSet/>
      <dgm:spPr>
        <a:xfrm>
          <a:off x="1304233" y="342208"/>
          <a:ext cx="2287382" cy="2287382"/>
        </a:xfrm>
        <a:prstGeom prst="blockArc">
          <a:avLst>
            <a:gd name="adj1" fmla="val 16200000"/>
            <a:gd name="adj2" fmla="val 0"/>
            <a:gd name="adj3" fmla="val 4635"/>
          </a:avLst>
        </a:prstGeom>
        <a:solidFill>
          <a:srgbClr val="196B2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gm:spPr>
      <dgm:t>
        <a:bodyPr/>
        <a:lstStyle/>
        <a:p>
          <a:pPr algn="ctr"/>
          <a:endParaRPr lang="en-US"/>
        </a:p>
      </dgm:t>
    </dgm:pt>
    <dgm:pt modelId="{DE6C559F-77BC-4AA5-A4C7-0DCEB24D61BD}">
      <dgm:prSet phldrT="[Text]" custT="1"/>
      <dgm:spPr>
        <a:xfrm>
          <a:off x="3196964" y="1117755"/>
          <a:ext cx="736289" cy="736289"/>
        </a:xfrm>
        <a:prstGeom prst="ellipse">
          <a:avLst/>
        </a:prstGeom>
        <a:gradFill rotWithShape="0">
          <a:gsLst>
            <a:gs pos="0">
              <a:srgbClr val="196B24">
                <a:hueOff val="0"/>
                <a:satOff val="0"/>
                <a:lumOff val="0"/>
                <a:alphaOff val="0"/>
                <a:satMod val="103000"/>
                <a:lumMod val="102000"/>
                <a:tint val="94000"/>
              </a:srgbClr>
            </a:gs>
            <a:gs pos="50000">
              <a:srgbClr val="196B24">
                <a:hueOff val="0"/>
                <a:satOff val="0"/>
                <a:lumOff val="0"/>
                <a:alphaOff val="0"/>
                <a:satMod val="110000"/>
                <a:lumMod val="100000"/>
                <a:shade val="100000"/>
              </a:srgbClr>
            </a:gs>
            <a:gs pos="100000">
              <a:srgbClr val="196B2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buNone/>
          </a:pPr>
          <a:r>
            <a:rPr lang="en-US" sz="1000">
              <a:solidFill>
                <a:sysClr val="window" lastClr="FFFFFF"/>
              </a:solidFill>
              <a:latin typeface="Aptos" panose="02110004020202020204"/>
              <a:ea typeface="+mn-ea"/>
              <a:cs typeface="+mn-cs"/>
            </a:rPr>
            <a:t>Design</a:t>
          </a:r>
        </a:p>
      </dgm:t>
    </dgm:pt>
    <dgm:pt modelId="{A73E0BF6-5A88-43B3-B900-64C923C98C5C}" type="parTrans" cxnId="{5D7784F9-6A27-4C64-9E6C-14F642AB0B84}">
      <dgm:prSet/>
      <dgm:spPr/>
      <dgm:t>
        <a:bodyPr/>
        <a:lstStyle/>
        <a:p>
          <a:pPr algn="ctr"/>
          <a:endParaRPr lang="en-US"/>
        </a:p>
      </dgm:t>
    </dgm:pt>
    <dgm:pt modelId="{73A4FF78-CB04-4C13-876C-8CE30E68DEAE}" type="sibTrans" cxnId="{5D7784F9-6A27-4C64-9E6C-14F642AB0B84}">
      <dgm:prSet/>
      <dgm:spPr>
        <a:xfrm>
          <a:off x="1304233" y="342208"/>
          <a:ext cx="2287382" cy="2287382"/>
        </a:xfrm>
        <a:prstGeom prst="blockArc">
          <a:avLst>
            <a:gd name="adj1" fmla="val 0"/>
            <a:gd name="adj2" fmla="val 5400000"/>
            <a:gd name="adj3" fmla="val 4635"/>
          </a:avLst>
        </a:prstGeom>
        <a:solidFill>
          <a:srgbClr val="196B2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gm:spPr>
      <dgm:t>
        <a:bodyPr/>
        <a:lstStyle/>
        <a:p>
          <a:pPr algn="ctr"/>
          <a:endParaRPr lang="en-US"/>
        </a:p>
      </dgm:t>
    </dgm:pt>
    <dgm:pt modelId="{EA077E04-CD54-464C-9C29-243C09354CB3}">
      <dgm:prSet phldrT="[Text]" custT="1"/>
      <dgm:spPr>
        <a:xfrm>
          <a:off x="2079780" y="2234939"/>
          <a:ext cx="736289" cy="736289"/>
        </a:xfrm>
        <a:prstGeom prst="ellipse">
          <a:avLst/>
        </a:prstGeom>
        <a:gradFill rotWithShape="0">
          <a:gsLst>
            <a:gs pos="0">
              <a:srgbClr val="196B24">
                <a:hueOff val="0"/>
                <a:satOff val="0"/>
                <a:lumOff val="0"/>
                <a:alphaOff val="0"/>
                <a:satMod val="103000"/>
                <a:lumMod val="102000"/>
                <a:tint val="94000"/>
              </a:srgbClr>
            </a:gs>
            <a:gs pos="50000">
              <a:srgbClr val="196B24">
                <a:hueOff val="0"/>
                <a:satOff val="0"/>
                <a:lumOff val="0"/>
                <a:alphaOff val="0"/>
                <a:satMod val="110000"/>
                <a:lumMod val="100000"/>
                <a:shade val="100000"/>
              </a:srgbClr>
            </a:gs>
            <a:gs pos="100000">
              <a:srgbClr val="196B2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buNone/>
          </a:pPr>
          <a:r>
            <a:rPr lang="en-US" sz="1000">
              <a:solidFill>
                <a:sysClr val="window" lastClr="FFFFFF"/>
              </a:solidFill>
              <a:latin typeface="Aptos" panose="02110004020202020204"/>
              <a:ea typeface="+mn-ea"/>
              <a:cs typeface="+mn-cs"/>
            </a:rPr>
            <a:t>Execution</a:t>
          </a:r>
        </a:p>
      </dgm:t>
    </dgm:pt>
    <dgm:pt modelId="{FF2C4F3C-1BC1-48AA-8190-B4742F34FAC3}" type="parTrans" cxnId="{9C6115AD-9A0D-45A3-A037-DCA6D8AB8F37}">
      <dgm:prSet/>
      <dgm:spPr/>
      <dgm:t>
        <a:bodyPr/>
        <a:lstStyle/>
        <a:p>
          <a:pPr algn="ctr"/>
          <a:endParaRPr lang="en-US"/>
        </a:p>
      </dgm:t>
    </dgm:pt>
    <dgm:pt modelId="{521699E9-8C09-4961-A58B-1D7E56B0C18F}" type="sibTrans" cxnId="{9C6115AD-9A0D-45A3-A037-DCA6D8AB8F37}">
      <dgm:prSet/>
      <dgm:spPr>
        <a:xfrm>
          <a:off x="1304233" y="342208"/>
          <a:ext cx="2287382" cy="2287382"/>
        </a:xfrm>
        <a:prstGeom prst="blockArc">
          <a:avLst>
            <a:gd name="adj1" fmla="val 5400000"/>
            <a:gd name="adj2" fmla="val 10800000"/>
            <a:gd name="adj3" fmla="val 4635"/>
          </a:avLst>
        </a:prstGeom>
        <a:solidFill>
          <a:srgbClr val="196B2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gm:spPr>
      <dgm:t>
        <a:bodyPr/>
        <a:lstStyle/>
        <a:p>
          <a:pPr algn="ctr"/>
          <a:endParaRPr lang="en-US"/>
        </a:p>
      </dgm:t>
    </dgm:pt>
    <dgm:pt modelId="{FE74654E-F3AD-4FD1-A830-8273C136CFA5}">
      <dgm:prSet phldrT="[Text]" custT="1"/>
      <dgm:spPr>
        <a:xfrm>
          <a:off x="962595" y="1117755"/>
          <a:ext cx="736289" cy="736289"/>
        </a:xfrm>
        <a:prstGeom prst="ellipse">
          <a:avLst/>
        </a:prstGeom>
        <a:gradFill rotWithShape="0">
          <a:gsLst>
            <a:gs pos="0">
              <a:srgbClr val="196B24">
                <a:hueOff val="0"/>
                <a:satOff val="0"/>
                <a:lumOff val="0"/>
                <a:alphaOff val="0"/>
                <a:satMod val="103000"/>
                <a:lumMod val="102000"/>
                <a:tint val="94000"/>
              </a:srgbClr>
            </a:gs>
            <a:gs pos="50000">
              <a:srgbClr val="196B24">
                <a:hueOff val="0"/>
                <a:satOff val="0"/>
                <a:lumOff val="0"/>
                <a:alphaOff val="0"/>
                <a:satMod val="110000"/>
                <a:lumMod val="100000"/>
                <a:shade val="100000"/>
              </a:srgbClr>
            </a:gs>
            <a:gs pos="100000">
              <a:srgbClr val="196B2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lgn="ctr">
            <a:buNone/>
          </a:pPr>
          <a:r>
            <a:rPr lang="en-US" sz="1000">
              <a:solidFill>
                <a:sysClr val="window" lastClr="FFFFFF"/>
              </a:solidFill>
              <a:latin typeface="Aptos" panose="02110004020202020204"/>
              <a:ea typeface="+mn-ea"/>
              <a:cs typeface="+mn-cs"/>
            </a:rPr>
            <a:t>Adaptability</a:t>
          </a:r>
        </a:p>
      </dgm:t>
    </dgm:pt>
    <dgm:pt modelId="{27B4539E-1E5C-43E0-A507-B82115D01CC1}" type="parTrans" cxnId="{E8023C2E-C945-444B-B1EB-69AD0DE292DC}">
      <dgm:prSet/>
      <dgm:spPr/>
      <dgm:t>
        <a:bodyPr/>
        <a:lstStyle/>
        <a:p>
          <a:pPr algn="ctr"/>
          <a:endParaRPr lang="en-US"/>
        </a:p>
      </dgm:t>
    </dgm:pt>
    <dgm:pt modelId="{B9A4BE17-C549-4068-85D0-C9B332C11B18}" type="sibTrans" cxnId="{E8023C2E-C945-444B-B1EB-69AD0DE292DC}">
      <dgm:prSet/>
      <dgm:spPr>
        <a:xfrm>
          <a:off x="1304233" y="342208"/>
          <a:ext cx="2287382" cy="2287382"/>
        </a:xfrm>
        <a:prstGeom prst="blockArc">
          <a:avLst>
            <a:gd name="adj1" fmla="val 10800000"/>
            <a:gd name="adj2" fmla="val 16200000"/>
            <a:gd name="adj3" fmla="val 4635"/>
          </a:avLst>
        </a:prstGeom>
        <a:solidFill>
          <a:srgbClr val="196B2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gm:spPr>
      <dgm:t>
        <a:bodyPr/>
        <a:lstStyle/>
        <a:p>
          <a:pPr algn="ctr"/>
          <a:endParaRPr lang="en-US"/>
        </a:p>
      </dgm:t>
    </dgm:pt>
    <dgm:pt modelId="{DA62107C-2353-4343-A86E-EF0ACE4759F2}" type="pres">
      <dgm:prSet presAssocID="{FA32FABF-796E-4650-A2F1-DD2689C04BAB}" presName="Name0" presStyleCnt="0">
        <dgm:presLayoutVars>
          <dgm:chMax val="1"/>
          <dgm:dir/>
          <dgm:animLvl val="ctr"/>
          <dgm:resizeHandles val="exact"/>
        </dgm:presLayoutVars>
      </dgm:prSet>
      <dgm:spPr/>
    </dgm:pt>
    <dgm:pt modelId="{EB639217-C252-472D-9B8B-23E9FE262591}" type="pres">
      <dgm:prSet presAssocID="{BABF17CE-8561-4F37-8D0C-EAC89FC720C9}" presName="centerShape" presStyleLbl="node0" presStyleIdx="0" presStyleCnt="1"/>
      <dgm:spPr/>
    </dgm:pt>
    <dgm:pt modelId="{F7D4C537-0841-467B-8298-63AA594E6A09}" type="pres">
      <dgm:prSet presAssocID="{4B7E35F7-7E66-4C84-833B-5C9C4CE485C9}" presName="node" presStyleLbl="node1" presStyleIdx="0" presStyleCnt="4">
        <dgm:presLayoutVars>
          <dgm:bulletEnabled val="1"/>
        </dgm:presLayoutVars>
      </dgm:prSet>
      <dgm:spPr/>
    </dgm:pt>
    <dgm:pt modelId="{F7C6BACE-90A0-44D3-9069-2F4C679C8366}" type="pres">
      <dgm:prSet presAssocID="{4B7E35F7-7E66-4C84-833B-5C9C4CE485C9}" presName="dummy" presStyleCnt="0"/>
      <dgm:spPr/>
    </dgm:pt>
    <dgm:pt modelId="{54E31395-4E8E-4624-9A52-86BB42B77DD1}" type="pres">
      <dgm:prSet presAssocID="{8DCEDBED-1788-46D9-AE45-2F4132F49D22}" presName="sibTrans" presStyleLbl="sibTrans2D1" presStyleIdx="0" presStyleCnt="4"/>
      <dgm:spPr/>
    </dgm:pt>
    <dgm:pt modelId="{52A3641F-8487-442F-9AC5-B88DFB7501A7}" type="pres">
      <dgm:prSet presAssocID="{DE6C559F-77BC-4AA5-A4C7-0DCEB24D61BD}" presName="node" presStyleLbl="node1" presStyleIdx="1" presStyleCnt="4">
        <dgm:presLayoutVars>
          <dgm:bulletEnabled val="1"/>
        </dgm:presLayoutVars>
      </dgm:prSet>
      <dgm:spPr/>
    </dgm:pt>
    <dgm:pt modelId="{72A328D1-143C-4E2C-8321-2DCAD6BDDCEB}" type="pres">
      <dgm:prSet presAssocID="{DE6C559F-77BC-4AA5-A4C7-0DCEB24D61BD}" presName="dummy" presStyleCnt="0"/>
      <dgm:spPr/>
    </dgm:pt>
    <dgm:pt modelId="{6FA44B90-ED4B-4EB7-9106-A431449D76D4}" type="pres">
      <dgm:prSet presAssocID="{73A4FF78-CB04-4C13-876C-8CE30E68DEAE}" presName="sibTrans" presStyleLbl="sibTrans2D1" presStyleIdx="1" presStyleCnt="4"/>
      <dgm:spPr/>
    </dgm:pt>
    <dgm:pt modelId="{B358D43C-B79F-4A1A-A9BE-228E7D8C7A47}" type="pres">
      <dgm:prSet presAssocID="{EA077E04-CD54-464C-9C29-243C09354CB3}" presName="node" presStyleLbl="node1" presStyleIdx="2" presStyleCnt="4">
        <dgm:presLayoutVars>
          <dgm:bulletEnabled val="1"/>
        </dgm:presLayoutVars>
      </dgm:prSet>
      <dgm:spPr/>
    </dgm:pt>
    <dgm:pt modelId="{E233985F-90F8-48B9-931A-FAE282E6AA14}" type="pres">
      <dgm:prSet presAssocID="{EA077E04-CD54-464C-9C29-243C09354CB3}" presName="dummy" presStyleCnt="0"/>
      <dgm:spPr/>
    </dgm:pt>
    <dgm:pt modelId="{AC0EB691-B188-466B-B78C-6C3270F09718}" type="pres">
      <dgm:prSet presAssocID="{521699E9-8C09-4961-A58B-1D7E56B0C18F}" presName="sibTrans" presStyleLbl="sibTrans2D1" presStyleIdx="2" presStyleCnt="4"/>
      <dgm:spPr/>
    </dgm:pt>
    <dgm:pt modelId="{06AB69D0-1DC3-4542-A729-009869CC4272}" type="pres">
      <dgm:prSet presAssocID="{FE74654E-F3AD-4FD1-A830-8273C136CFA5}" presName="node" presStyleLbl="node1" presStyleIdx="3" presStyleCnt="4">
        <dgm:presLayoutVars>
          <dgm:bulletEnabled val="1"/>
        </dgm:presLayoutVars>
      </dgm:prSet>
      <dgm:spPr/>
    </dgm:pt>
    <dgm:pt modelId="{37B41A43-F974-4880-8058-DE31DD7F484C}" type="pres">
      <dgm:prSet presAssocID="{FE74654E-F3AD-4FD1-A830-8273C136CFA5}" presName="dummy" presStyleCnt="0"/>
      <dgm:spPr/>
    </dgm:pt>
    <dgm:pt modelId="{917A4432-AB50-4502-AFA2-9C6CF3181D5B}" type="pres">
      <dgm:prSet presAssocID="{B9A4BE17-C549-4068-85D0-C9B332C11B18}" presName="sibTrans" presStyleLbl="sibTrans2D1" presStyleIdx="3" presStyleCnt="4"/>
      <dgm:spPr/>
    </dgm:pt>
  </dgm:ptLst>
  <dgm:cxnLst>
    <dgm:cxn modelId="{572C4707-ACC0-41BB-8EAB-6587B8F4F4DB}" type="presOf" srcId="{B9A4BE17-C549-4068-85D0-C9B332C11B18}" destId="{917A4432-AB50-4502-AFA2-9C6CF3181D5B}" srcOrd="0" destOrd="0" presId="urn:microsoft.com/office/officeart/2005/8/layout/radial6"/>
    <dgm:cxn modelId="{82DE5D08-A85A-4676-BFC2-8B601FB14DD2}" type="presOf" srcId="{DE6C559F-77BC-4AA5-A4C7-0DCEB24D61BD}" destId="{52A3641F-8487-442F-9AC5-B88DFB7501A7}" srcOrd="0" destOrd="0" presId="urn:microsoft.com/office/officeart/2005/8/layout/radial6"/>
    <dgm:cxn modelId="{32F5D70C-5D19-4B62-8446-77F928A362EE}" type="presOf" srcId="{8DCEDBED-1788-46D9-AE45-2F4132F49D22}" destId="{54E31395-4E8E-4624-9A52-86BB42B77DD1}" srcOrd="0" destOrd="0" presId="urn:microsoft.com/office/officeart/2005/8/layout/radial6"/>
    <dgm:cxn modelId="{E8023C2E-C945-444B-B1EB-69AD0DE292DC}" srcId="{BABF17CE-8561-4F37-8D0C-EAC89FC720C9}" destId="{FE74654E-F3AD-4FD1-A830-8273C136CFA5}" srcOrd="3" destOrd="0" parTransId="{27B4539E-1E5C-43E0-A507-B82115D01CC1}" sibTransId="{B9A4BE17-C549-4068-85D0-C9B332C11B18}"/>
    <dgm:cxn modelId="{2FE7EE3E-DE01-40A6-9FCE-A67547650350}" type="presOf" srcId="{521699E9-8C09-4961-A58B-1D7E56B0C18F}" destId="{AC0EB691-B188-466B-B78C-6C3270F09718}" srcOrd="0" destOrd="0" presId="urn:microsoft.com/office/officeart/2005/8/layout/radial6"/>
    <dgm:cxn modelId="{574C3A62-6AD6-4D94-87A9-9C9271BEF334}" type="presOf" srcId="{EA077E04-CD54-464C-9C29-243C09354CB3}" destId="{B358D43C-B79F-4A1A-A9BE-228E7D8C7A47}" srcOrd="0" destOrd="0" presId="urn:microsoft.com/office/officeart/2005/8/layout/radial6"/>
    <dgm:cxn modelId="{D7581068-5805-4458-B7F2-E214A331B034}" type="presOf" srcId="{FE74654E-F3AD-4FD1-A830-8273C136CFA5}" destId="{06AB69D0-1DC3-4542-A729-009869CC4272}" srcOrd="0" destOrd="0" presId="urn:microsoft.com/office/officeart/2005/8/layout/radial6"/>
    <dgm:cxn modelId="{01F10257-5B7D-49BD-91DE-ADAAA5FE0871}" type="presOf" srcId="{73A4FF78-CB04-4C13-876C-8CE30E68DEAE}" destId="{6FA44B90-ED4B-4EB7-9106-A431449D76D4}" srcOrd="0" destOrd="0" presId="urn:microsoft.com/office/officeart/2005/8/layout/radial6"/>
    <dgm:cxn modelId="{83FC1B83-708C-4C82-8891-808C2D8B21DD}" srcId="{BABF17CE-8561-4F37-8D0C-EAC89FC720C9}" destId="{4B7E35F7-7E66-4C84-833B-5C9C4CE485C9}" srcOrd="0" destOrd="0" parTransId="{111CE85D-C8CC-41A9-B156-0DA589FD88F4}" sibTransId="{8DCEDBED-1788-46D9-AE45-2F4132F49D22}"/>
    <dgm:cxn modelId="{CF7E2998-670D-40D0-9A49-606224E71244}" srcId="{FA32FABF-796E-4650-A2F1-DD2689C04BAB}" destId="{BABF17CE-8561-4F37-8D0C-EAC89FC720C9}" srcOrd="0" destOrd="0" parTransId="{BB89BDE7-F39D-42CB-AC38-9A84D5AEAA4E}" sibTransId="{815AF167-CE90-4EF5-9192-3F177C333D12}"/>
    <dgm:cxn modelId="{9C6115AD-9A0D-45A3-A037-DCA6D8AB8F37}" srcId="{BABF17CE-8561-4F37-8D0C-EAC89FC720C9}" destId="{EA077E04-CD54-464C-9C29-243C09354CB3}" srcOrd="2" destOrd="0" parTransId="{FF2C4F3C-1BC1-48AA-8190-B4742F34FAC3}" sibTransId="{521699E9-8C09-4961-A58B-1D7E56B0C18F}"/>
    <dgm:cxn modelId="{FFB220D8-25E1-47D2-9CC9-E1AA5603C1CF}" type="presOf" srcId="{BABF17CE-8561-4F37-8D0C-EAC89FC720C9}" destId="{EB639217-C252-472D-9B8B-23E9FE262591}" srcOrd="0" destOrd="0" presId="urn:microsoft.com/office/officeart/2005/8/layout/radial6"/>
    <dgm:cxn modelId="{4DDE94E9-CBD4-4114-BD20-4FDC1BE92BF8}" type="presOf" srcId="{FA32FABF-796E-4650-A2F1-DD2689C04BAB}" destId="{DA62107C-2353-4343-A86E-EF0ACE4759F2}" srcOrd="0" destOrd="0" presId="urn:microsoft.com/office/officeart/2005/8/layout/radial6"/>
    <dgm:cxn modelId="{F50B29F0-0221-4DD3-864D-307322B84CFE}" type="presOf" srcId="{4B7E35F7-7E66-4C84-833B-5C9C4CE485C9}" destId="{F7D4C537-0841-467B-8298-63AA594E6A09}" srcOrd="0" destOrd="0" presId="urn:microsoft.com/office/officeart/2005/8/layout/radial6"/>
    <dgm:cxn modelId="{5D7784F9-6A27-4C64-9E6C-14F642AB0B84}" srcId="{BABF17CE-8561-4F37-8D0C-EAC89FC720C9}" destId="{DE6C559F-77BC-4AA5-A4C7-0DCEB24D61BD}" srcOrd="1" destOrd="0" parTransId="{A73E0BF6-5A88-43B3-B900-64C923C98C5C}" sibTransId="{73A4FF78-CB04-4C13-876C-8CE30E68DEAE}"/>
    <dgm:cxn modelId="{501757BB-F073-4C8A-A539-833DD4578591}" type="presParOf" srcId="{DA62107C-2353-4343-A86E-EF0ACE4759F2}" destId="{EB639217-C252-472D-9B8B-23E9FE262591}" srcOrd="0" destOrd="0" presId="urn:microsoft.com/office/officeart/2005/8/layout/radial6"/>
    <dgm:cxn modelId="{60CB1693-3BDE-4FA5-9EFE-DC0A3248810B}" type="presParOf" srcId="{DA62107C-2353-4343-A86E-EF0ACE4759F2}" destId="{F7D4C537-0841-467B-8298-63AA594E6A09}" srcOrd="1" destOrd="0" presId="urn:microsoft.com/office/officeart/2005/8/layout/radial6"/>
    <dgm:cxn modelId="{BFC8C221-1BC7-408B-B854-56353A49A99D}" type="presParOf" srcId="{DA62107C-2353-4343-A86E-EF0ACE4759F2}" destId="{F7C6BACE-90A0-44D3-9069-2F4C679C8366}" srcOrd="2" destOrd="0" presId="urn:microsoft.com/office/officeart/2005/8/layout/radial6"/>
    <dgm:cxn modelId="{D3BEE58A-2043-43E2-A258-3EA89F929486}" type="presParOf" srcId="{DA62107C-2353-4343-A86E-EF0ACE4759F2}" destId="{54E31395-4E8E-4624-9A52-86BB42B77DD1}" srcOrd="3" destOrd="0" presId="urn:microsoft.com/office/officeart/2005/8/layout/radial6"/>
    <dgm:cxn modelId="{2D4F24CF-28D9-41CD-BB12-DAC18EBC5F12}" type="presParOf" srcId="{DA62107C-2353-4343-A86E-EF0ACE4759F2}" destId="{52A3641F-8487-442F-9AC5-B88DFB7501A7}" srcOrd="4" destOrd="0" presId="urn:microsoft.com/office/officeart/2005/8/layout/radial6"/>
    <dgm:cxn modelId="{6B19A1F9-5619-4926-BE0B-A1C62C60FDB3}" type="presParOf" srcId="{DA62107C-2353-4343-A86E-EF0ACE4759F2}" destId="{72A328D1-143C-4E2C-8321-2DCAD6BDDCEB}" srcOrd="5" destOrd="0" presId="urn:microsoft.com/office/officeart/2005/8/layout/radial6"/>
    <dgm:cxn modelId="{48D82ADB-87A7-4BCB-A4D9-3402337CB2CC}" type="presParOf" srcId="{DA62107C-2353-4343-A86E-EF0ACE4759F2}" destId="{6FA44B90-ED4B-4EB7-9106-A431449D76D4}" srcOrd="6" destOrd="0" presId="urn:microsoft.com/office/officeart/2005/8/layout/radial6"/>
    <dgm:cxn modelId="{4FDDBAE8-C637-4FC4-AE48-E87B36EC085D}" type="presParOf" srcId="{DA62107C-2353-4343-A86E-EF0ACE4759F2}" destId="{B358D43C-B79F-4A1A-A9BE-228E7D8C7A47}" srcOrd="7" destOrd="0" presId="urn:microsoft.com/office/officeart/2005/8/layout/radial6"/>
    <dgm:cxn modelId="{DDD3E9AF-7FF6-47C8-B600-CED727744DDA}" type="presParOf" srcId="{DA62107C-2353-4343-A86E-EF0ACE4759F2}" destId="{E233985F-90F8-48B9-931A-FAE282E6AA14}" srcOrd="8" destOrd="0" presId="urn:microsoft.com/office/officeart/2005/8/layout/radial6"/>
    <dgm:cxn modelId="{27449C18-E955-4AB0-B6B8-69B5735B1CC7}" type="presParOf" srcId="{DA62107C-2353-4343-A86E-EF0ACE4759F2}" destId="{AC0EB691-B188-466B-B78C-6C3270F09718}" srcOrd="9" destOrd="0" presId="urn:microsoft.com/office/officeart/2005/8/layout/radial6"/>
    <dgm:cxn modelId="{AAC5E625-3C1A-4A75-B426-B2E483CE23BC}" type="presParOf" srcId="{DA62107C-2353-4343-A86E-EF0ACE4759F2}" destId="{06AB69D0-1DC3-4542-A729-009869CC4272}" srcOrd="10" destOrd="0" presId="urn:microsoft.com/office/officeart/2005/8/layout/radial6"/>
    <dgm:cxn modelId="{3B1172D8-9855-473B-8F03-5594667456F5}" type="presParOf" srcId="{DA62107C-2353-4343-A86E-EF0ACE4759F2}" destId="{37B41A43-F974-4880-8058-DE31DD7F484C}" srcOrd="11" destOrd="0" presId="urn:microsoft.com/office/officeart/2005/8/layout/radial6"/>
    <dgm:cxn modelId="{85965F13-7CA2-40E4-B139-658947CF0CB2}" type="presParOf" srcId="{DA62107C-2353-4343-A86E-EF0ACE4759F2}" destId="{917A4432-AB50-4502-AFA2-9C6CF3181D5B}" srcOrd="12"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7A4432-AB50-4502-AFA2-9C6CF3181D5B}">
      <dsp:nvSpPr>
        <dsp:cNvPr id="0" name=""/>
        <dsp:cNvSpPr/>
      </dsp:nvSpPr>
      <dsp:spPr>
        <a:xfrm>
          <a:off x="1383206" y="454518"/>
          <a:ext cx="3034312" cy="3034312"/>
        </a:xfrm>
        <a:prstGeom prst="blockArc">
          <a:avLst>
            <a:gd name="adj1" fmla="val 10800000"/>
            <a:gd name="adj2" fmla="val 16200000"/>
            <a:gd name="adj3" fmla="val 4635"/>
          </a:avLst>
        </a:prstGeom>
        <a:solidFill>
          <a:srgbClr val="196B2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AC0EB691-B188-466B-B78C-6C3270F09718}">
      <dsp:nvSpPr>
        <dsp:cNvPr id="0" name=""/>
        <dsp:cNvSpPr/>
      </dsp:nvSpPr>
      <dsp:spPr>
        <a:xfrm>
          <a:off x="1383206" y="454518"/>
          <a:ext cx="3034312" cy="3034312"/>
        </a:xfrm>
        <a:prstGeom prst="blockArc">
          <a:avLst>
            <a:gd name="adj1" fmla="val 5400000"/>
            <a:gd name="adj2" fmla="val 10800000"/>
            <a:gd name="adj3" fmla="val 4635"/>
          </a:avLst>
        </a:prstGeom>
        <a:solidFill>
          <a:srgbClr val="196B2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6FA44B90-ED4B-4EB7-9106-A431449D76D4}">
      <dsp:nvSpPr>
        <dsp:cNvPr id="0" name=""/>
        <dsp:cNvSpPr/>
      </dsp:nvSpPr>
      <dsp:spPr>
        <a:xfrm>
          <a:off x="1383206" y="454518"/>
          <a:ext cx="3034312" cy="3034312"/>
        </a:xfrm>
        <a:prstGeom prst="blockArc">
          <a:avLst>
            <a:gd name="adj1" fmla="val 0"/>
            <a:gd name="adj2" fmla="val 5400000"/>
            <a:gd name="adj3" fmla="val 4635"/>
          </a:avLst>
        </a:prstGeom>
        <a:solidFill>
          <a:srgbClr val="196B2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54E31395-4E8E-4624-9A52-86BB42B77DD1}">
      <dsp:nvSpPr>
        <dsp:cNvPr id="0" name=""/>
        <dsp:cNvSpPr/>
      </dsp:nvSpPr>
      <dsp:spPr>
        <a:xfrm>
          <a:off x="1383206" y="454518"/>
          <a:ext cx="3034312" cy="3034312"/>
        </a:xfrm>
        <a:prstGeom prst="blockArc">
          <a:avLst>
            <a:gd name="adj1" fmla="val 16200000"/>
            <a:gd name="adj2" fmla="val 0"/>
            <a:gd name="adj3" fmla="val 4635"/>
          </a:avLst>
        </a:prstGeom>
        <a:solidFill>
          <a:srgbClr val="196B2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EB639217-C252-472D-9B8B-23E9FE262591}">
      <dsp:nvSpPr>
        <dsp:cNvPr id="0" name=""/>
        <dsp:cNvSpPr/>
      </dsp:nvSpPr>
      <dsp:spPr>
        <a:xfrm>
          <a:off x="2202179" y="1273492"/>
          <a:ext cx="1396365" cy="1396365"/>
        </a:xfrm>
        <a:prstGeom prst="ellipse">
          <a:avLst/>
        </a:prstGeom>
        <a:gradFill rotWithShape="0">
          <a:gsLst>
            <a:gs pos="0">
              <a:srgbClr val="196B24">
                <a:hueOff val="0"/>
                <a:satOff val="0"/>
                <a:lumOff val="0"/>
                <a:alphaOff val="0"/>
                <a:satMod val="103000"/>
                <a:lumMod val="102000"/>
                <a:tint val="94000"/>
              </a:srgbClr>
            </a:gs>
            <a:gs pos="50000">
              <a:srgbClr val="196B24">
                <a:hueOff val="0"/>
                <a:satOff val="0"/>
                <a:lumOff val="0"/>
                <a:alphaOff val="0"/>
                <a:satMod val="110000"/>
                <a:lumMod val="100000"/>
                <a:shade val="100000"/>
              </a:srgbClr>
            </a:gs>
            <a:gs pos="100000">
              <a:srgbClr val="196B2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Aptos" panose="02110004020202020204"/>
              <a:ea typeface="+mn-ea"/>
              <a:cs typeface="+mn-cs"/>
            </a:rPr>
            <a:t>Expecations of Research Safety</a:t>
          </a:r>
        </a:p>
      </dsp:txBody>
      <dsp:txXfrm>
        <a:off x="2406672" y="1477985"/>
        <a:ext cx="987379" cy="987379"/>
      </dsp:txXfrm>
    </dsp:sp>
    <dsp:sp modelId="{F7D4C537-0841-467B-8298-63AA594E6A09}">
      <dsp:nvSpPr>
        <dsp:cNvPr id="0" name=""/>
        <dsp:cNvSpPr/>
      </dsp:nvSpPr>
      <dsp:spPr>
        <a:xfrm>
          <a:off x="2411634" y="978"/>
          <a:ext cx="977456" cy="977456"/>
        </a:xfrm>
        <a:prstGeom prst="ellipse">
          <a:avLst/>
        </a:prstGeom>
        <a:gradFill rotWithShape="0">
          <a:gsLst>
            <a:gs pos="0">
              <a:srgbClr val="196B24">
                <a:hueOff val="0"/>
                <a:satOff val="0"/>
                <a:lumOff val="0"/>
                <a:alphaOff val="0"/>
                <a:satMod val="103000"/>
                <a:lumMod val="102000"/>
                <a:tint val="94000"/>
              </a:srgbClr>
            </a:gs>
            <a:gs pos="50000">
              <a:srgbClr val="196B24">
                <a:hueOff val="0"/>
                <a:satOff val="0"/>
                <a:lumOff val="0"/>
                <a:alphaOff val="0"/>
                <a:satMod val="110000"/>
                <a:lumMod val="100000"/>
                <a:shade val="100000"/>
              </a:srgbClr>
            </a:gs>
            <a:gs pos="100000">
              <a:srgbClr val="196B2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Aptos" panose="02110004020202020204"/>
              <a:ea typeface="+mn-ea"/>
              <a:cs typeface="+mn-cs"/>
            </a:rPr>
            <a:t>Leadership</a:t>
          </a:r>
        </a:p>
      </dsp:txBody>
      <dsp:txXfrm>
        <a:off x="2554779" y="144123"/>
        <a:ext cx="691166" cy="691166"/>
      </dsp:txXfrm>
    </dsp:sp>
    <dsp:sp modelId="{52A3641F-8487-442F-9AC5-B88DFB7501A7}">
      <dsp:nvSpPr>
        <dsp:cNvPr id="0" name=""/>
        <dsp:cNvSpPr/>
      </dsp:nvSpPr>
      <dsp:spPr>
        <a:xfrm>
          <a:off x="3893602" y="1482946"/>
          <a:ext cx="977456" cy="977456"/>
        </a:xfrm>
        <a:prstGeom prst="ellipse">
          <a:avLst/>
        </a:prstGeom>
        <a:gradFill rotWithShape="0">
          <a:gsLst>
            <a:gs pos="0">
              <a:srgbClr val="196B24">
                <a:hueOff val="0"/>
                <a:satOff val="0"/>
                <a:lumOff val="0"/>
                <a:alphaOff val="0"/>
                <a:satMod val="103000"/>
                <a:lumMod val="102000"/>
                <a:tint val="94000"/>
              </a:srgbClr>
            </a:gs>
            <a:gs pos="50000">
              <a:srgbClr val="196B24">
                <a:hueOff val="0"/>
                <a:satOff val="0"/>
                <a:lumOff val="0"/>
                <a:alphaOff val="0"/>
                <a:satMod val="110000"/>
                <a:lumMod val="100000"/>
                <a:shade val="100000"/>
              </a:srgbClr>
            </a:gs>
            <a:gs pos="100000">
              <a:srgbClr val="196B2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Aptos" panose="02110004020202020204"/>
              <a:ea typeface="+mn-ea"/>
              <a:cs typeface="+mn-cs"/>
            </a:rPr>
            <a:t>Design</a:t>
          </a:r>
        </a:p>
      </dsp:txBody>
      <dsp:txXfrm>
        <a:off x="4036747" y="1626091"/>
        <a:ext cx="691166" cy="691166"/>
      </dsp:txXfrm>
    </dsp:sp>
    <dsp:sp modelId="{B358D43C-B79F-4A1A-A9BE-228E7D8C7A47}">
      <dsp:nvSpPr>
        <dsp:cNvPr id="0" name=""/>
        <dsp:cNvSpPr/>
      </dsp:nvSpPr>
      <dsp:spPr>
        <a:xfrm>
          <a:off x="2411634" y="2964914"/>
          <a:ext cx="977456" cy="977456"/>
        </a:xfrm>
        <a:prstGeom prst="ellipse">
          <a:avLst/>
        </a:prstGeom>
        <a:gradFill rotWithShape="0">
          <a:gsLst>
            <a:gs pos="0">
              <a:srgbClr val="196B24">
                <a:hueOff val="0"/>
                <a:satOff val="0"/>
                <a:lumOff val="0"/>
                <a:alphaOff val="0"/>
                <a:satMod val="103000"/>
                <a:lumMod val="102000"/>
                <a:tint val="94000"/>
              </a:srgbClr>
            </a:gs>
            <a:gs pos="50000">
              <a:srgbClr val="196B24">
                <a:hueOff val="0"/>
                <a:satOff val="0"/>
                <a:lumOff val="0"/>
                <a:alphaOff val="0"/>
                <a:satMod val="110000"/>
                <a:lumMod val="100000"/>
                <a:shade val="100000"/>
              </a:srgbClr>
            </a:gs>
            <a:gs pos="100000">
              <a:srgbClr val="196B2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Aptos" panose="02110004020202020204"/>
              <a:ea typeface="+mn-ea"/>
              <a:cs typeface="+mn-cs"/>
            </a:rPr>
            <a:t>Execution</a:t>
          </a:r>
        </a:p>
      </dsp:txBody>
      <dsp:txXfrm>
        <a:off x="2554779" y="3108059"/>
        <a:ext cx="691166" cy="691166"/>
      </dsp:txXfrm>
    </dsp:sp>
    <dsp:sp modelId="{06AB69D0-1DC3-4542-A729-009869CC4272}">
      <dsp:nvSpPr>
        <dsp:cNvPr id="0" name=""/>
        <dsp:cNvSpPr/>
      </dsp:nvSpPr>
      <dsp:spPr>
        <a:xfrm>
          <a:off x="929666" y="1482946"/>
          <a:ext cx="977456" cy="977456"/>
        </a:xfrm>
        <a:prstGeom prst="ellipse">
          <a:avLst/>
        </a:prstGeom>
        <a:gradFill rotWithShape="0">
          <a:gsLst>
            <a:gs pos="0">
              <a:srgbClr val="196B24">
                <a:hueOff val="0"/>
                <a:satOff val="0"/>
                <a:lumOff val="0"/>
                <a:alphaOff val="0"/>
                <a:satMod val="103000"/>
                <a:lumMod val="102000"/>
                <a:tint val="94000"/>
              </a:srgbClr>
            </a:gs>
            <a:gs pos="50000">
              <a:srgbClr val="196B24">
                <a:hueOff val="0"/>
                <a:satOff val="0"/>
                <a:lumOff val="0"/>
                <a:alphaOff val="0"/>
                <a:satMod val="110000"/>
                <a:lumMod val="100000"/>
                <a:shade val="100000"/>
              </a:srgbClr>
            </a:gs>
            <a:gs pos="100000">
              <a:srgbClr val="196B2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Aptos" panose="02110004020202020204"/>
              <a:ea typeface="+mn-ea"/>
              <a:cs typeface="+mn-cs"/>
            </a:rPr>
            <a:t>Adaptability</a:t>
          </a:r>
        </a:p>
      </dsp:txBody>
      <dsp:txXfrm>
        <a:off x="1072811" y="1626091"/>
        <a:ext cx="691166" cy="6911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8013341-9E76-4B00-B72A-BF0AE443DFF3}"/>
      </w:docPartPr>
      <w:docPartBody>
        <w:p w:rsidR="00816C14" w:rsidRDefault="00816C14">
          <w:r w:rsidRPr="00A24F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14"/>
    <w:rsid w:val="00092334"/>
    <w:rsid w:val="00245F80"/>
    <w:rsid w:val="00287F18"/>
    <w:rsid w:val="004340A6"/>
    <w:rsid w:val="00816C14"/>
    <w:rsid w:val="008E3CB4"/>
    <w:rsid w:val="00AB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C1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A2F4-6EC6-45C2-91C0-C1EB58A0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16515</Words>
  <Characters>94141</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Kristie</dc:creator>
  <cp:keywords/>
  <dc:description/>
  <cp:lastModifiedBy>Adams, Kristie</cp:lastModifiedBy>
  <cp:revision>3</cp:revision>
  <cp:lastPrinted>2025-07-24T15:29:00Z</cp:lastPrinted>
  <dcterms:created xsi:type="dcterms:W3CDTF">2025-08-06T21:42:00Z</dcterms:created>
  <dcterms:modified xsi:type="dcterms:W3CDTF">2025-08-06T21:43:00Z</dcterms:modified>
</cp:coreProperties>
</file>